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BE9E" w14:textId="79429019" w:rsidR="00F4451D" w:rsidRDefault="00F4451D" w:rsidP="00C47577">
      <w:pPr>
        <w:jc w:val="center"/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А Н </w:t>
      </w:r>
      <w:proofErr w:type="spellStart"/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Н</w:t>
      </w:r>
      <w:proofErr w:type="spellEnd"/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О Т А Ц И Я </w:t>
      </w:r>
    </w:p>
    <w:p w14:paraId="099F0A7E" w14:textId="7AC02E7B" w:rsidR="00F4451D" w:rsidRPr="00F4451D" w:rsidRDefault="00F4451D" w:rsidP="00F4451D">
      <w:pPr>
        <w:spacing w:after="0"/>
        <w:jc w:val="center"/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по доведению смысла и значения</w:t>
      </w:r>
    </w:p>
    <w:p w14:paraId="03F5652E" w14:textId="7D635F38" w:rsidR="00C47577" w:rsidRDefault="006A3912" w:rsidP="00F4451D">
      <w:pPr>
        <w:spacing w:after="0"/>
        <w:jc w:val="center"/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</w:pPr>
      <w:r w:rsidRPr="00C47577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Закон</w:t>
      </w:r>
      <w:r w:rsidR="00F4451D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а Республики </w:t>
      </w:r>
      <w:proofErr w:type="gramStart"/>
      <w:r w:rsidR="00F4451D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Узбекистан </w:t>
      </w:r>
      <w:r w:rsidRPr="00C47577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C47577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>О внесении изменений и дополнений в некоторые законодательные акты Республики Узбекистан в связи с совершенствованием налогового администрирования»</w:t>
      </w:r>
      <w:r w:rsidR="00F4451D">
        <w:rPr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C47577">
        <w:rPr>
          <w:rStyle w:val="a4"/>
          <w:rFonts w:ascii="Cambria" w:hAnsi="Cambria" w:cs="Segoe UI"/>
          <w:b/>
          <w:bCs/>
          <w:color w:val="000000"/>
          <w:sz w:val="28"/>
          <w:szCs w:val="28"/>
          <w:shd w:val="clear" w:color="auto" w:fill="FFFFFF"/>
        </w:rPr>
        <w:t xml:space="preserve">(ЗРУ №758 от 11.03.2022 года) </w:t>
      </w:r>
    </w:p>
    <w:p w14:paraId="6C4C2914" w14:textId="77777777" w:rsidR="00C47577" w:rsidRPr="00C47577" w:rsidRDefault="00C47577" w:rsidP="00C47577">
      <w:pPr>
        <w:jc w:val="both"/>
        <w:rPr>
          <w:rFonts w:ascii="Cambria" w:hAnsi="Cambria"/>
          <w:b/>
          <w:bCs/>
          <w:noProof/>
          <w:sz w:val="28"/>
          <w:szCs w:val="28"/>
        </w:rPr>
      </w:pPr>
    </w:p>
    <w:p w14:paraId="5336A018" w14:textId="77777777" w:rsidR="00C47577" w:rsidRDefault="00C47577" w:rsidP="00C47577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Законом внесены дополнения в Кодекс об административной ответственности. </w:t>
      </w:r>
      <w:r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Согласно Закону, </w:t>
      </w:r>
      <w:r w:rsidR="006A3912" w:rsidRPr="00C47577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непредставление или несвоевременное представление налоговой отчетности</w:t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и платежного поручения на уплату налогов и сборов в обслуживающий банк является основанием для привлечения руководителя юридического лица и индивидуального предпринимателя к административной ответственности с фиксацией через Единую автоматизированную информационную систему налоговых органов. </w:t>
      </w:r>
    </w:p>
    <w:p w14:paraId="6B7884B4" w14:textId="77777777" w:rsidR="00C47577" w:rsidRDefault="00C47577" w:rsidP="00C47577">
      <w:pPr>
        <w:spacing w:after="0"/>
        <w:jc w:val="both"/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</w:pPr>
      <w:r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Также, </w:t>
      </w:r>
      <w:r w:rsidR="006A3912" w:rsidRPr="00C47577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 xml:space="preserve">искусственное завышение или снижение цен на товары </w:t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и услуги в зависимости от формы расчетов за них наличными денежными средствами или по пластиковым картам влечет наложение </w:t>
      </w:r>
      <w:r w:rsidR="006A3912" w:rsidRPr="00C47577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штрафа в размере 30 БРВ</w:t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 </w:t>
      </w:r>
      <w:r w:rsidR="006A3912" w:rsidRPr="00C47577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(8 млн 100 тысяч сумов). </w:t>
      </w:r>
    </w:p>
    <w:p w14:paraId="65F51D98" w14:textId="71A89567" w:rsidR="00C47577" w:rsidRPr="00C47577" w:rsidRDefault="00C47577" w:rsidP="00C47577">
      <w:pPr>
        <w:spacing w:after="0"/>
        <w:jc w:val="both"/>
        <w:rPr>
          <w:rFonts w:ascii="Cambria" w:hAnsi="Cambria" w:cs="Segoe UI"/>
          <w:color w:val="000000"/>
          <w:sz w:val="28"/>
          <w:szCs w:val="28"/>
          <w:shd w:val="clear" w:color="auto" w:fill="FFFFFF"/>
        </w:rPr>
      </w:pPr>
      <w:r w:rsidRPr="00C47577">
        <w:rPr>
          <w:rStyle w:val="a4"/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Законом внесены изменения </w:t>
      </w:r>
      <w:r w:rsidR="006A3912" w:rsidRPr="00C47577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в Налоговый кодекс</w:t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, направленные на обеспечение объективности действий по осуществлению налогового контроля. </w:t>
      </w:r>
      <w:r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</w:p>
    <w:p w14:paraId="33E203FF" w14:textId="077D4350" w:rsidR="00C065D6" w:rsidRPr="00C47577" w:rsidRDefault="00C47577" w:rsidP="00C47577">
      <w:pPr>
        <w:spacing w:after="0"/>
        <w:jc w:val="both"/>
        <w:rPr>
          <w:rFonts w:ascii="Cambria" w:hAnsi="Cambria"/>
          <w:sz w:val="28"/>
          <w:szCs w:val="28"/>
        </w:rPr>
      </w:pPr>
      <w:r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ab/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 xml:space="preserve">Согласно Закону, объективность действий по осуществлению налогового контроля осуществляется посредством использования устройств видеонаблюдения, а при отсутствии такой возможности - с участием понятых. Запись видеосъёмки ведётся непрерывно и последовательно. Копия материалов видеосъёмки предоставляется налогоплательщику или его представителю по окончании мероприятия налогового контроля. В случаях, </w:t>
      </w:r>
      <w:r w:rsidR="006A3912" w:rsidRPr="00C47577">
        <w:rPr>
          <w:rStyle w:val="a3"/>
          <w:rFonts w:ascii="Cambria" w:hAnsi="Cambria" w:cs="Segoe UI"/>
          <w:b w:val="0"/>
          <w:bCs w:val="0"/>
          <w:color w:val="000000"/>
          <w:sz w:val="28"/>
          <w:szCs w:val="28"/>
          <w:shd w:val="clear" w:color="auto" w:fill="FFFFFF"/>
        </w:rPr>
        <w:t>когда видеозапись запрещена законодательством</w:t>
      </w:r>
      <w:r w:rsidR="006A3912" w:rsidRPr="00C47577">
        <w:rPr>
          <w:rFonts w:ascii="Cambria" w:hAnsi="Cambria" w:cs="Segoe UI"/>
          <w:color w:val="000000"/>
          <w:sz w:val="28"/>
          <w:szCs w:val="28"/>
          <w:shd w:val="clear" w:color="auto" w:fill="FFFFFF"/>
        </w:rPr>
        <w:t>, понятые в обязательном порядке привлекаются к действиям, связанным с осуществлением налогового контроля.</w:t>
      </w:r>
    </w:p>
    <w:sectPr w:rsidR="00C065D6" w:rsidRPr="00C47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D6"/>
    <w:rsid w:val="006A3912"/>
    <w:rsid w:val="00C065D6"/>
    <w:rsid w:val="00C47577"/>
    <w:rsid w:val="00F4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935B3"/>
  <w15:chartTrackingRefBased/>
  <w15:docId w15:val="{AC7D78BF-E31D-4971-9F27-D7F79B43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3912"/>
    <w:rPr>
      <w:b/>
      <w:bCs/>
    </w:rPr>
  </w:style>
  <w:style w:type="character" w:styleId="a4">
    <w:name w:val="Emphasis"/>
    <w:basedOn w:val="a0"/>
    <w:uiPriority w:val="20"/>
    <w:qFormat/>
    <w:rsid w:val="006A3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Байбурина Ильмира Равильевна</dc:creator>
  <cp:keywords/>
  <dc:description/>
  <cp:lastModifiedBy>Байбурина Ильмира Равильевна</cp:lastModifiedBy>
  <cp:revision>4</cp:revision>
  <dcterms:created xsi:type="dcterms:W3CDTF">2022-03-24T07:00:00Z</dcterms:created>
  <dcterms:modified xsi:type="dcterms:W3CDTF">2022-03-24T07:13:00Z</dcterms:modified>
</cp:coreProperties>
</file>