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2563" w14:textId="688BF99C" w:rsidR="00C07845" w:rsidRPr="00C07845" w:rsidRDefault="00C07845" w:rsidP="00C0784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b/>
          <w:bCs/>
          <w:noProof/>
          <w:color w:val="0E0E0E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noProof/>
          <w:color w:val="0E0E0E"/>
          <w:sz w:val="24"/>
          <w:szCs w:val="24"/>
          <w:bdr w:val="none" w:sz="0" w:space="0" w:color="auto" w:frame="1"/>
          <w:lang w:eastAsia="ru-RU"/>
        </w:rPr>
        <w:tab/>
      </w:r>
      <w:r w:rsidRPr="00C07845">
        <w:rPr>
          <w:rFonts w:ascii="Cambria" w:eastAsia="Times New Roman" w:hAnsi="Cambria" w:cs="Arial"/>
          <w:b/>
          <w:bCs/>
          <w:noProof/>
          <w:color w:val="0E0E0E"/>
          <w:sz w:val="28"/>
          <w:szCs w:val="28"/>
          <w:bdr w:val="none" w:sz="0" w:space="0" w:color="auto" w:frame="1"/>
          <w:lang w:eastAsia="ru-RU"/>
        </w:rPr>
        <w:tab/>
      </w:r>
      <w:r w:rsidRPr="00C07845">
        <w:rPr>
          <w:rFonts w:ascii="Cambria" w:eastAsia="Times New Roman" w:hAnsi="Cambria" w:cs="Arial"/>
          <w:b/>
          <w:bCs/>
          <w:noProof/>
          <w:color w:val="0E0E0E"/>
          <w:sz w:val="28"/>
          <w:szCs w:val="28"/>
          <w:bdr w:val="none" w:sz="0" w:space="0" w:color="auto" w:frame="1"/>
          <w:lang w:eastAsia="ru-RU"/>
        </w:rPr>
        <w:tab/>
      </w:r>
      <w:r w:rsidRPr="00C07845">
        <w:rPr>
          <w:rFonts w:ascii="Cambria" w:eastAsia="Times New Roman" w:hAnsi="Cambria" w:cs="Arial"/>
          <w:b/>
          <w:bCs/>
          <w:noProof/>
          <w:color w:val="0E0E0E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Cambria" w:eastAsia="Times New Roman" w:hAnsi="Cambria" w:cs="Arial"/>
          <w:b/>
          <w:bCs/>
          <w:noProof/>
          <w:color w:val="0E0E0E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C07845">
        <w:rPr>
          <w:rFonts w:ascii="Cambria" w:eastAsia="Times New Roman" w:hAnsi="Cambria" w:cs="Arial"/>
          <w:b/>
          <w:bCs/>
          <w:noProof/>
          <w:color w:val="0E0E0E"/>
          <w:sz w:val="28"/>
          <w:szCs w:val="28"/>
          <w:bdr w:val="none" w:sz="0" w:space="0" w:color="auto" w:frame="1"/>
          <w:lang w:eastAsia="ru-RU"/>
        </w:rPr>
        <w:t>А Н Н О Т А Ц И Я</w:t>
      </w:r>
    </w:p>
    <w:p w14:paraId="00A065B1" w14:textId="34BFD0A9" w:rsidR="00C07845" w:rsidRPr="00C07845" w:rsidRDefault="00C07845" w:rsidP="00C0784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noProof/>
          <w:color w:val="0E0E0E"/>
          <w:sz w:val="28"/>
          <w:szCs w:val="28"/>
          <w:bdr w:val="none" w:sz="0" w:space="0" w:color="auto" w:frame="1"/>
          <w:lang w:eastAsia="ru-RU"/>
        </w:rPr>
      </w:pPr>
      <w:r w:rsidRPr="00C07845">
        <w:rPr>
          <w:rFonts w:ascii="Cambria" w:eastAsia="Times New Roman" w:hAnsi="Cambria" w:cs="Arial"/>
          <w:b/>
          <w:bCs/>
          <w:noProof/>
          <w:color w:val="0E0E0E"/>
          <w:sz w:val="28"/>
          <w:szCs w:val="28"/>
          <w:bdr w:val="none" w:sz="0" w:space="0" w:color="auto" w:frame="1"/>
          <w:lang w:eastAsia="ru-RU"/>
        </w:rPr>
        <w:t>по доведению смыс</w:t>
      </w:r>
      <w:r>
        <w:rPr>
          <w:rFonts w:ascii="Cambria" w:eastAsia="Times New Roman" w:hAnsi="Cambria" w:cs="Arial"/>
          <w:b/>
          <w:bCs/>
          <w:noProof/>
          <w:color w:val="0E0E0E"/>
          <w:sz w:val="28"/>
          <w:szCs w:val="28"/>
          <w:bdr w:val="none" w:sz="0" w:space="0" w:color="auto" w:frame="1"/>
          <w:lang w:eastAsia="ru-RU"/>
        </w:rPr>
        <w:t>л</w:t>
      </w:r>
      <w:r w:rsidRPr="00C07845">
        <w:rPr>
          <w:rFonts w:ascii="Cambria" w:eastAsia="Times New Roman" w:hAnsi="Cambria" w:cs="Arial"/>
          <w:b/>
          <w:bCs/>
          <w:noProof/>
          <w:color w:val="0E0E0E"/>
          <w:sz w:val="28"/>
          <w:szCs w:val="28"/>
          <w:bdr w:val="none" w:sz="0" w:space="0" w:color="auto" w:frame="1"/>
          <w:lang w:eastAsia="ru-RU"/>
        </w:rPr>
        <w:t xml:space="preserve">а и </w:t>
      </w:r>
      <w:r>
        <w:rPr>
          <w:rFonts w:ascii="Cambria" w:eastAsia="Times New Roman" w:hAnsi="Cambria" w:cs="Arial"/>
          <w:b/>
          <w:bCs/>
          <w:noProof/>
          <w:color w:val="0E0E0E"/>
          <w:sz w:val="28"/>
          <w:szCs w:val="28"/>
          <w:bdr w:val="none" w:sz="0" w:space="0" w:color="auto" w:frame="1"/>
          <w:lang w:eastAsia="ru-RU"/>
        </w:rPr>
        <w:t xml:space="preserve"> значения</w:t>
      </w:r>
    </w:p>
    <w:p w14:paraId="0C1C0018" w14:textId="584869ED" w:rsidR="00C07845" w:rsidRPr="00C07845" w:rsidRDefault="00C07845" w:rsidP="00C0784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0E0E0E"/>
          <w:sz w:val="28"/>
          <w:szCs w:val="28"/>
          <w:bdr w:val="none" w:sz="0" w:space="0" w:color="auto" w:frame="1"/>
          <w:lang w:eastAsia="ru-RU"/>
        </w:rPr>
      </w:pPr>
      <w:r w:rsidRPr="00C07845">
        <w:rPr>
          <w:rFonts w:ascii="Cambria" w:eastAsia="Times New Roman" w:hAnsi="Cambria" w:cs="Arial"/>
          <w:b/>
          <w:bCs/>
          <w:color w:val="0E0E0E"/>
          <w:sz w:val="28"/>
          <w:szCs w:val="28"/>
          <w:bdr w:val="none" w:sz="0" w:space="0" w:color="auto" w:frame="1"/>
          <w:lang w:eastAsia="ru-RU"/>
        </w:rPr>
        <w:t xml:space="preserve">Указа Президента Республики </w:t>
      </w:r>
      <w:proofErr w:type="gramStart"/>
      <w:r w:rsidRPr="00C07845">
        <w:rPr>
          <w:rFonts w:ascii="Cambria" w:eastAsia="Times New Roman" w:hAnsi="Cambria" w:cs="Arial"/>
          <w:b/>
          <w:bCs/>
          <w:color w:val="0E0E0E"/>
          <w:sz w:val="28"/>
          <w:szCs w:val="28"/>
          <w:bdr w:val="none" w:sz="0" w:space="0" w:color="auto" w:frame="1"/>
          <w:lang w:eastAsia="ru-RU"/>
        </w:rPr>
        <w:t>Узбекистан  от</w:t>
      </w:r>
      <w:proofErr w:type="gramEnd"/>
      <w:r w:rsidRPr="00C07845">
        <w:rPr>
          <w:rFonts w:ascii="Cambria" w:eastAsia="Times New Roman" w:hAnsi="Cambria" w:cs="Arial"/>
          <w:b/>
          <w:bCs/>
          <w:color w:val="0E0E0E"/>
          <w:sz w:val="28"/>
          <w:szCs w:val="28"/>
          <w:bdr w:val="none" w:sz="0" w:space="0" w:color="auto" w:frame="1"/>
          <w:lang w:eastAsia="ru-RU"/>
        </w:rPr>
        <w:t xml:space="preserve"> 01.03.2022 г.№ </w:t>
      </w:r>
      <w:hyperlink r:id="rId5" w:tgtFrame="_blank" w:history="1">
        <w:r w:rsidRPr="00C07845">
          <w:rPr>
            <w:rFonts w:ascii="Cambria" w:eastAsia="Times New Roman" w:hAnsi="Cambria" w:cs="Arial"/>
            <w:b/>
            <w:bCs/>
            <w:sz w:val="28"/>
            <w:szCs w:val="28"/>
            <w:bdr w:val="none" w:sz="0" w:space="0" w:color="auto" w:frame="1"/>
            <w:lang w:eastAsia="ru-RU"/>
          </w:rPr>
          <w:t>УП-81</w:t>
        </w:r>
      </w:hyperlink>
    </w:p>
    <w:p w14:paraId="09313CAE" w14:textId="6D1495BE" w:rsidR="00C07845" w:rsidRPr="00C07845" w:rsidRDefault="00C07845" w:rsidP="00C0784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0E0E0E"/>
          <w:sz w:val="28"/>
          <w:szCs w:val="28"/>
          <w:bdr w:val="none" w:sz="0" w:space="0" w:color="auto" w:frame="1"/>
          <w:lang w:eastAsia="ru-RU"/>
        </w:rPr>
      </w:pPr>
      <w:r w:rsidRPr="00C07845">
        <w:rPr>
          <w:rFonts w:ascii="Cambria" w:eastAsia="Times New Roman" w:hAnsi="Cambria" w:cs="Arial"/>
          <w:b/>
          <w:bCs/>
          <w:color w:val="0E0E0E"/>
          <w:sz w:val="28"/>
          <w:szCs w:val="28"/>
          <w:bdr w:val="none" w:sz="0" w:space="0" w:color="auto" w:frame="1"/>
          <w:lang w:eastAsia="ru-RU"/>
        </w:rPr>
        <w:t>«О мерах по совершенствованию системы работы</w:t>
      </w:r>
    </w:p>
    <w:p w14:paraId="181A6E26" w14:textId="0AA05483" w:rsidR="00C07845" w:rsidRDefault="00C07845" w:rsidP="00C0784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0E0E0E"/>
          <w:sz w:val="28"/>
          <w:szCs w:val="28"/>
          <w:bdr w:val="none" w:sz="0" w:space="0" w:color="auto" w:frame="1"/>
          <w:lang w:eastAsia="ru-RU"/>
        </w:rPr>
      </w:pPr>
      <w:r w:rsidRPr="00C07845">
        <w:rPr>
          <w:rFonts w:ascii="Cambria" w:eastAsia="Times New Roman" w:hAnsi="Cambria" w:cs="Arial"/>
          <w:b/>
          <w:bCs/>
          <w:color w:val="0E0E0E"/>
          <w:sz w:val="28"/>
          <w:szCs w:val="28"/>
          <w:bdr w:val="none" w:sz="0" w:space="0" w:color="auto" w:frame="1"/>
          <w:lang w:eastAsia="ru-RU"/>
        </w:rPr>
        <w:t>с семьей и женщинами, поддержке махаллей и старейшин»</w:t>
      </w:r>
      <w:r w:rsidR="00E9205B">
        <w:rPr>
          <w:rFonts w:ascii="Cambria" w:eastAsia="Times New Roman" w:hAnsi="Cambria" w:cs="Arial"/>
          <w:b/>
          <w:bCs/>
          <w:color w:val="0E0E0E"/>
          <w:sz w:val="28"/>
          <w:szCs w:val="28"/>
          <w:bdr w:val="none" w:sz="0" w:space="0" w:color="auto" w:frame="1"/>
          <w:lang w:eastAsia="ru-RU"/>
        </w:rPr>
        <w:t>,</w:t>
      </w:r>
    </w:p>
    <w:p w14:paraId="7D2D2D84" w14:textId="77777777" w:rsidR="00E9205B" w:rsidRDefault="00E9205B" w:rsidP="00E9205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0E0E0E"/>
          <w:sz w:val="28"/>
          <w:szCs w:val="28"/>
          <w:lang w:eastAsia="ru-RU"/>
        </w:rPr>
      </w:pPr>
      <w:r>
        <w:rPr>
          <w:rFonts w:ascii="Cambria" w:eastAsia="Times New Roman" w:hAnsi="Cambria" w:cs="Arial"/>
          <w:b/>
          <w:bCs/>
          <w:color w:val="0E0E0E"/>
          <w:sz w:val="28"/>
          <w:szCs w:val="28"/>
          <w:bdr w:val="none" w:sz="0" w:space="0" w:color="auto" w:frame="1"/>
          <w:lang w:eastAsia="ru-RU"/>
        </w:rPr>
        <w:t xml:space="preserve">также </w:t>
      </w:r>
      <w:r w:rsidRPr="00C42C8B">
        <w:rPr>
          <w:rFonts w:ascii="Cambria" w:eastAsia="Times New Roman" w:hAnsi="Cambria" w:cs="Arial"/>
          <w:b/>
          <w:bCs/>
          <w:color w:val="0E0E0E"/>
          <w:sz w:val="28"/>
          <w:szCs w:val="28"/>
          <w:lang w:eastAsia="ru-RU"/>
        </w:rPr>
        <w:t>постановлени</w:t>
      </w:r>
      <w:r>
        <w:rPr>
          <w:rFonts w:ascii="Cambria" w:eastAsia="Times New Roman" w:hAnsi="Cambria" w:cs="Arial"/>
          <w:b/>
          <w:bCs/>
          <w:color w:val="0E0E0E"/>
          <w:sz w:val="28"/>
          <w:szCs w:val="28"/>
          <w:lang w:eastAsia="ru-RU"/>
        </w:rPr>
        <w:t>я</w:t>
      </w:r>
      <w:r w:rsidRPr="00C42C8B">
        <w:rPr>
          <w:rFonts w:ascii="Cambria" w:eastAsia="Times New Roman" w:hAnsi="Cambria" w:cs="Arial"/>
          <w:b/>
          <w:bCs/>
          <w:color w:val="0E0E0E"/>
          <w:sz w:val="28"/>
          <w:szCs w:val="28"/>
          <w:lang w:eastAsia="ru-RU"/>
        </w:rPr>
        <w:t xml:space="preserve"> Президента Республики </w:t>
      </w:r>
      <w:proofErr w:type="gramStart"/>
      <w:r w:rsidRPr="00C42C8B">
        <w:rPr>
          <w:rFonts w:ascii="Cambria" w:eastAsia="Times New Roman" w:hAnsi="Cambria" w:cs="Arial"/>
          <w:b/>
          <w:bCs/>
          <w:color w:val="0E0E0E"/>
          <w:sz w:val="28"/>
          <w:szCs w:val="28"/>
          <w:lang w:eastAsia="ru-RU"/>
        </w:rPr>
        <w:t xml:space="preserve">Узбекистан </w:t>
      </w:r>
      <w:r>
        <w:rPr>
          <w:rFonts w:ascii="Cambria" w:eastAsia="Times New Roman" w:hAnsi="Cambria" w:cs="Arial"/>
          <w:b/>
          <w:bCs/>
          <w:color w:val="0E0E0E"/>
          <w:sz w:val="28"/>
          <w:szCs w:val="28"/>
          <w:lang w:eastAsia="ru-RU"/>
        </w:rPr>
        <w:t xml:space="preserve"> от</w:t>
      </w:r>
      <w:proofErr w:type="gramEnd"/>
      <w:r>
        <w:rPr>
          <w:rFonts w:ascii="Cambria" w:eastAsia="Times New Roman" w:hAnsi="Cambria" w:cs="Arial"/>
          <w:b/>
          <w:bCs/>
          <w:color w:val="0E0E0E"/>
          <w:sz w:val="28"/>
          <w:szCs w:val="28"/>
          <w:lang w:eastAsia="ru-RU"/>
        </w:rPr>
        <w:t xml:space="preserve"> 02.03.2022 г.</w:t>
      </w:r>
      <w:r w:rsidRPr="00C42C8B">
        <w:rPr>
          <w:rFonts w:ascii="Cambria" w:eastAsia="Times New Roman" w:hAnsi="Cambria" w:cs="Arial"/>
          <w:b/>
          <w:bCs/>
          <w:color w:val="0E0E0E"/>
          <w:sz w:val="28"/>
          <w:szCs w:val="28"/>
          <w:lang w:eastAsia="ru-RU"/>
        </w:rPr>
        <w:t>№ ПП-146 “</w:t>
      </w:r>
      <w:r>
        <w:rPr>
          <w:rFonts w:ascii="Cambria" w:eastAsia="Times New Roman" w:hAnsi="Cambria" w:cs="Arial"/>
          <w:b/>
          <w:bCs/>
          <w:color w:val="0E0E0E"/>
          <w:sz w:val="28"/>
          <w:szCs w:val="28"/>
          <w:lang w:eastAsia="ru-RU"/>
        </w:rPr>
        <w:t>О</w:t>
      </w:r>
      <w:r w:rsidRPr="00C42C8B">
        <w:rPr>
          <w:rFonts w:ascii="Cambria" w:eastAsia="Times New Roman" w:hAnsi="Cambria" w:cs="Arial"/>
          <w:b/>
          <w:bCs/>
          <w:color w:val="0E0E0E"/>
          <w:sz w:val="28"/>
          <w:szCs w:val="28"/>
          <w:lang w:eastAsia="ru-RU"/>
        </w:rPr>
        <w:t>б организации деятельности Государственного комитета Республики Узбекистан</w:t>
      </w:r>
    </w:p>
    <w:p w14:paraId="4C73BE8A" w14:textId="0239C452" w:rsidR="00E9205B" w:rsidRPr="00C42C8B" w:rsidRDefault="00E9205B" w:rsidP="00E9205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0E0E0E"/>
          <w:sz w:val="28"/>
          <w:szCs w:val="28"/>
          <w:lang w:eastAsia="ru-RU"/>
        </w:rPr>
      </w:pPr>
      <w:r w:rsidRPr="00C42C8B">
        <w:rPr>
          <w:rFonts w:ascii="Cambria" w:eastAsia="Times New Roman" w:hAnsi="Cambria" w:cs="Arial"/>
          <w:b/>
          <w:bCs/>
          <w:color w:val="0E0E0E"/>
          <w:sz w:val="28"/>
          <w:szCs w:val="28"/>
          <w:lang w:eastAsia="ru-RU"/>
        </w:rPr>
        <w:t xml:space="preserve"> по делам семьи и женщин”</w:t>
      </w:r>
    </w:p>
    <w:p w14:paraId="43D6EB7F" w14:textId="0F619F49" w:rsidR="00E9205B" w:rsidRPr="00C07845" w:rsidRDefault="00E9205B" w:rsidP="00C0784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</w:p>
    <w:p w14:paraId="5272360E" w14:textId="6B569F43" w:rsidR="00D91F8D" w:rsidRDefault="00C07845" w:rsidP="00D91F8D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</w:r>
      <w:r w:rsidR="00E9205B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 xml:space="preserve">Вышеуказанным </w:t>
      </w:r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Указом создаются:</w:t>
      </w:r>
    </w:p>
    <w:p w14:paraId="6545BE49" w14:textId="77777777" w:rsidR="00D91F8D" w:rsidRDefault="00D91F8D" w:rsidP="00D91F8D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</w:r>
      <w:r w:rsidR="00C07845"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Государственный комитет по делам семьи и женщин;</w:t>
      </w:r>
    </w:p>
    <w:p w14:paraId="4BBEEE25" w14:textId="3FA1E93C" w:rsidR="00C07845" w:rsidRPr="00C07845" w:rsidRDefault="00D91F8D" w:rsidP="00D91F8D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</w:r>
      <w:r w:rsidR="00C07845"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Министерство по поддержке махалли и старшего поколения.</w:t>
      </w:r>
    </w:p>
    <w:p w14:paraId="2CA827BA" w14:textId="6CB4D027" w:rsidR="00C07845" w:rsidRPr="00C07845" w:rsidRDefault="00C07845" w:rsidP="00C07845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 </w:t>
      </w:r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  <w:t>Комитет является органом государственного управления, уполномоченный разрабатывать и реализовывать единую государственную политику в сфере поддержки семьи и женщин, защиты их прав и законных интересов.</w:t>
      </w:r>
    </w:p>
    <w:p w14:paraId="6E260083" w14:textId="77777777" w:rsidR="00C07845" w:rsidRDefault="00C07845" w:rsidP="00C07845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 </w:t>
      </w:r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  <w:t>Основные задачи комитета:</w:t>
      </w:r>
    </w:p>
    <w:p w14:paraId="5BE7DE58" w14:textId="77777777" w:rsidR="00C07845" w:rsidRDefault="00C07845" w:rsidP="00C07845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</w:r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защита прав и законных интересов женщин, повышение их роли и активности в общественно-политической жизни страны, обеспечение гендерного равенства, широкое вовлечение в научную деятельность;</w:t>
      </w:r>
    </w:p>
    <w:p w14:paraId="6303CFB8" w14:textId="77777777" w:rsidR="00C07845" w:rsidRDefault="00C07845" w:rsidP="00C07845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</w:r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своевременное выявление семейных и женских проблем, оказание социальной, правовой и психологической помощи семьям и женщинам, находящимся в трудной социальной ситуации;</w:t>
      </w:r>
    </w:p>
    <w:p w14:paraId="57EBC252" w14:textId="77777777" w:rsidR="00C07845" w:rsidRDefault="00C07845" w:rsidP="00C07845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</w:r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создание необходимых условий для приобретения женщинами знаний и навыков по профессиям, востребованным на рынке труда, привлечение женщин сельской местности к семейному и частному предпринимательству, ремеслам;</w:t>
      </w: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</w:r>
    </w:p>
    <w:p w14:paraId="3A827850" w14:textId="3CABA19B" w:rsidR="00C07845" w:rsidRPr="00C07845" w:rsidRDefault="00C07845" w:rsidP="00C07845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</w:r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реализация адресных мер по пропаганде здорового образа жизни среди женщин, укреплению духовно-нравственных ценностей семьи;</w:t>
      </w: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</w:r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поддержка деятельности женских ННО.</w:t>
      </w:r>
    </w:p>
    <w:p w14:paraId="57C72A37" w14:textId="77777777" w:rsidR="00C07845" w:rsidRDefault="00C07845" w:rsidP="00C07845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 </w:t>
      </w:r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  <w:t>Документом учреждаются следующие должности:</w:t>
      </w:r>
    </w:p>
    <w:p w14:paraId="01D05A22" w14:textId="77777777" w:rsidR="00C07845" w:rsidRDefault="00C07845" w:rsidP="00C07845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</w:r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в Кабинете министров: заместитель премьер-министра – председатель Государственного комитета по делам семьи и женщин;</w:t>
      </w: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</w:r>
    </w:p>
    <w:p w14:paraId="1F390770" w14:textId="77777777" w:rsidR="00C07845" w:rsidRDefault="00C07845" w:rsidP="00C07845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</w:r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в Совете министров Каракалпакстана: заместитель председателя Совмина – председатель Комитета по делам семьи и женщин;</w:t>
      </w:r>
    </w:p>
    <w:p w14:paraId="2B878149" w14:textId="77777777" w:rsidR="00C07845" w:rsidRDefault="00C07845" w:rsidP="00C07845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</w:r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 xml:space="preserve">в областных </w:t>
      </w:r>
      <w:proofErr w:type="spellStart"/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хокимиятах</w:t>
      </w:r>
      <w:proofErr w:type="spellEnd"/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 xml:space="preserve">: заместители </w:t>
      </w:r>
      <w:proofErr w:type="spellStart"/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хокимов</w:t>
      </w:r>
      <w:proofErr w:type="spellEnd"/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 xml:space="preserve"> – руководители отделов по делам семьи и женщин;</w:t>
      </w:r>
    </w:p>
    <w:p w14:paraId="17B83A7F" w14:textId="08778C9D" w:rsidR="00C07845" w:rsidRPr="00C07845" w:rsidRDefault="00C07845" w:rsidP="00C07845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</w:r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 xml:space="preserve">в районных (городских) </w:t>
      </w:r>
      <w:proofErr w:type="spellStart"/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хокимиятах</w:t>
      </w:r>
      <w:proofErr w:type="spellEnd"/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 xml:space="preserve"> – заместители </w:t>
      </w:r>
      <w:proofErr w:type="spellStart"/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хокимов</w:t>
      </w:r>
      <w:proofErr w:type="spellEnd"/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 xml:space="preserve"> – заведующие семейным и женским отделами.</w:t>
      </w:r>
    </w:p>
    <w:p w14:paraId="154661CE" w14:textId="6D5A1443" w:rsidR="00C07845" w:rsidRPr="00C07845" w:rsidRDefault="00C07845" w:rsidP="00C07845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lastRenderedPageBreak/>
        <w:t> </w:t>
      </w:r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  <w:t>В каждой махалле всех городов, сел и аулов вводится должность женских активисток.</w:t>
      </w:r>
    </w:p>
    <w:p w14:paraId="792D709B" w14:textId="3AE90CF3" w:rsidR="00C07845" w:rsidRPr="00C07845" w:rsidRDefault="00C07845" w:rsidP="00C07845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 </w:t>
      </w:r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  <w:t>Министерство по поддержке махалли и старшего поколения и его территориальные подразделения создается на базе Министерства по поддержке махалли и семьи и его территориальных подразделений.</w:t>
      </w:r>
    </w:p>
    <w:p w14:paraId="1479C0FF" w14:textId="19A29A80" w:rsidR="00C07845" w:rsidRPr="00C07845" w:rsidRDefault="00C07845" w:rsidP="00C07845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 </w:t>
      </w:r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  <w:t>Министерство является уполномоченным госорганом по выработке и реализации единой госполитики в сфере поддержки пожилых людей и защиты их прав и законных интересов, взаимодействия с махаллями.</w:t>
      </w:r>
    </w:p>
    <w:p w14:paraId="298D9E14" w14:textId="77777777" w:rsidR="00C07845" w:rsidRDefault="00C07845" w:rsidP="00C07845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 </w:t>
      </w:r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  <w:t>Основные задачи и направления деятельности Министерства:</w:t>
      </w:r>
    </w:p>
    <w:p w14:paraId="0FF02F76" w14:textId="77777777" w:rsidR="00C07845" w:rsidRDefault="00C07845" w:rsidP="00C07845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</w:r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 xml:space="preserve">поддержка деятельности махаллей, защита их прав и законных интересов, разработка предложений по развитию </w:t>
      </w:r>
      <w:proofErr w:type="spellStart"/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махаллинской</w:t>
      </w:r>
      <w:proofErr w:type="spellEnd"/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 xml:space="preserve"> системы;</w:t>
      </w:r>
    </w:p>
    <w:p w14:paraId="52E295C4" w14:textId="77777777" w:rsidR="00C07845" w:rsidRDefault="00C07845" w:rsidP="00C07845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</w:r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усиление роли и места махаллей в обществе, в осуществлении эффективного общественного контроля;</w:t>
      </w:r>
    </w:p>
    <w:p w14:paraId="58D105A1" w14:textId="77777777" w:rsidR="00C07845" w:rsidRDefault="00C07845" w:rsidP="00C07845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</w:r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привлечение пожилых к укреплению семьи в махаллях, сохранению национальных и общечеловеческих ценностей;</w:t>
      </w:r>
    </w:p>
    <w:p w14:paraId="25FF186B" w14:textId="77777777" w:rsidR="00425E6B" w:rsidRDefault="00C07845" w:rsidP="00425E6B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</w:r>
      <w:r w:rsidRPr="00C07845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реализация комплексных мер, направленных на улучшение материально-технического обеспечения махаллей и внедрение современных информационно-коммуникационных технологий в отрасли.</w:t>
      </w:r>
    </w:p>
    <w:p w14:paraId="0A6D741D" w14:textId="77777777" w:rsidR="00C42C8B" w:rsidRDefault="00C07845" w:rsidP="00D91F8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0E0E0E"/>
          <w:sz w:val="28"/>
          <w:szCs w:val="28"/>
          <w:lang w:eastAsia="ru-RU"/>
        </w:rPr>
      </w:pPr>
      <w:r w:rsidRPr="00C07845">
        <w:rPr>
          <w:rFonts w:ascii="Cambria" w:eastAsia="Times New Roman" w:hAnsi="Cambria" w:cs="Arial"/>
          <w:color w:val="0E0E0E"/>
          <w:sz w:val="28"/>
          <w:szCs w:val="28"/>
          <w:bdr w:val="none" w:sz="0" w:space="0" w:color="auto" w:frame="1"/>
          <w:lang w:eastAsia="ru-RU"/>
        </w:rPr>
        <w:br/>
      </w:r>
      <w:r w:rsidR="00425E6B" w:rsidRPr="00C42C8B">
        <w:rPr>
          <w:rFonts w:ascii="Cambria" w:eastAsia="Times New Roman" w:hAnsi="Cambria" w:cs="Arial"/>
          <w:b/>
          <w:bCs/>
          <w:color w:val="0E0E0E"/>
          <w:sz w:val="28"/>
          <w:szCs w:val="28"/>
          <w:lang w:eastAsia="ru-RU"/>
        </w:rPr>
        <w:t xml:space="preserve">2 марта </w:t>
      </w:r>
      <w:r w:rsidR="00C42C8B">
        <w:rPr>
          <w:rFonts w:ascii="Cambria" w:eastAsia="Times New Roman" w:hAnsi="Cambria" w:cs="Arial"/>
          <w:b/>
          <w:bCs/>
          <w:color w:val="0E0E0E"/>
          <w:sz w:val="28"/>
          <w:szCs w:val="28"/>
          <w:lang w:eastAsia="ru-RU"/>
        </w:rPr>
        <w:t>2022</w:t>
      </w:r>
      <w:r w:rsidR="00425E6B" w:rsidRPr="00C42C8B">
        <w:rPr>
          <w:rFonts w:ascii="Cambria" w:eastAsia="Times New Roman" w:hAnsi="Cambria" w:cs="Arial"/>
          <w:b/>
          <w:bCs/>
          <w:color w:val="0E0E0E"/>
          <w:sz w:val="28"/>
          <w:szCs w:val="28"/>
          <w:lang w:eastAsia="ru-RU"/>
        </w:rPr>
        <w:t xml:space="preserve"> года принято постановление Президента Республики Узбекистан № ПП-146 “</w:t>
      </w:r>
      <w:r w:rsidR="00C42C8B">
        <w:rPr>
          <w:rFonts w:ascii="Cambria" w:eastAsia="Times New Roman" w:hAnsi="Cambria" w:cs="Arial"/>
          <w:b/>
          <w:bCs/>
          <w:color w:val="0E0E0E"/>
          <w:sz w:val="28"/>
          <w:szCs w:val="28"/>
          <w:lang w:eastAsia="ru-RU"/>
        </w:rPr>
        <w:t>О</w:t>
      </w:r>
      <w:r w:rsidR="00425E6B" w:rsidRPr="00C42C8B">
        <w:rPr>
          <w:rFonts w:ascii="Cambria" w:eastAsia="Times New Roman" w:hAnsi="Cambria" w:cs="Arial"/>
          <w:b/>
          <w:bCs/>
          <w:color w:val="0E0E0E"/>
          <w:sz w:val="28"/>
          <w:szCs w:val="28"/>
          <w:lang w:eastAsia="ru-RU"/>
        </w:rPr>
        <w:t xml:space="preserve">б организации деятельности Государственного комитета Республики Узбекистан </w:t>
      </w:r>
    </w:p>
    <w:p w14:paraId="1C2D3651" w14:textId="66CABACF" w:rsidR="00425E6B" w:rsidRPr="00C42C8B" w:rsidRDefault="00425E6B" w:rsidP="00D91F8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0E0E0E"/>
          <w:sz w:val="28"/>
          <w:szCs w:val="28"/>
          <w:lang w:eastAsia="ru-RU"/>
        </w:rPr>
      </w:pPr>
      <w:r w:rsidRPr="00C42C8B">
        <w:rPr>
          <w:rFonts w:ascii="Cambria" w:eastAsia="Times New Roman" w:hAnsi="Cambria" w:cs="Arial"/>
          <w:b/>
          <w:bCs/>
          <w:color w:val="0E0E0E"/>
          <w:sz w:val="28"/>
          <w:szCs w:val="28"/>
          <w:lang w:eastAsia="ru-RU"/>
        </w:rPr>
        <w:t>по делам семьи и женщин”</w:t>
      </w:r>
    </w:p>
    <w:p w14:paraId="0D89840A" w14:textId="2BB38F9A" w:rsidR="00425E6B" w:rsidRPr="00425E6B" w:rsidRDefault="00C42C8B" w:rsidP="00425E6B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  <w:t>Согласно постановлению:</w:t>
      </w:r>
    </w:p>
    <w:p w14:paraId="6F9B3977" w14:textId="410A4278" w:rsidR="00425E6B" w:rsidRPr="00425E6B" w:rsidRDefault="00C42C8B" w:rsidP="00425E6B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 xml:space="preserve">           Создана </w:t>
      </w:r>
      <w:r w:rsidR="00425E6B" w:rsidRPr="00425E6B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Республиканская комиссия по повышению роли женщин в обществе, гендерному равенству и вопросам семьи;</w:t>
      </w:r>
    </w:p>
    <w:p w14:paraId="30F86F29" w14:textId="5B6251C9" w:rsidR="00425E6B" w:rsidRPr="00425E6B" w:rsidRDefault="00C42C8B" w:rsidP="00425E6B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 xml:space="preserve">            </w:t>
      </w:r>
      <w:r w:rsidR="00425E6B" w:rsidRPr="00425E6B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 xml:space="preserve">в местных </w:t>
      </w:r>
      <w:proofErr w:type="spellStart"/>
      <w:r w:rsidR="00425E6B" w:rsidRPr="00425E6B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Кенгашах</w:t>
      </w:r>
      <w:proofErr w:type="spellEnd"/>
      <w:r w:rsidR="00425E6B" w:rsidRPr="00425E6B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 xml:space="preserve"> созданы территориальные комиссии по повышению роли женщин в обществе, гендерному равенству и вопросам семьи.</w:t>
      </w:r>
    </w:p>
    <w:p w14:paraId="45CD4525" w14:textId="52F67FD4" w:rsidR="00425E6B" w:rsidRPr="00425E6B" w:rsidRDefault="00C42C8B" w:rsidP="00425E6B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</w:r>
      <w:r w:rsidR="00425E6B" w:rsidRPr="00425E6B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В Генеральной прокуратуре создано Управление по контролю за исполнением законодательства в сфере обеспечения прав женщин и защиты их от притеснений и насилия.</w:t>
      </w:r>
    </w:p>
    <w:p w14:paraId="6EE280B1" w14:textId="5592D1BD" w:rsidR="00425E6B" w:rsidRPr="00425E6B" w:rsidRDefault="00C42C8B" w:rsidP="00425E6B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</w:r>
      <w:r w:rsidR="00425E6B" w:rsidRPr="00425E6B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Генеральная прокуратура осуществляет систематический контроль за исполнением законодательных актов в сфере защиты прав женщин и защиты от притеснений и насилия.</w:t>
      </w:r>
    </w:p>
    <w:p w14:paraId="027007DB" w14:textId="7C8524CF" w:rsidR="00425E6B" w:rsidRPr="00425E6B" w:rsidRDefault="00C42C8B" w:rsidP="00425E6B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</w:r>
      <w:r w:rsidR="00425E6B" w:rsidRPr="00425E6B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Государственный комитет по делам семьи и женщин и его территориальные подразделения имеют право:</w:t>
      </w:r>
    </w:p>
    <w:p w14:paraId="1EEA1249" w14:textId="1AE221A5" w:rsidR="00425E6B" w:rsidRPr="00425E6B" w:rsidRDefault="00C42C8B" w:rsidP="00425E6B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lastRenderedPageBreak/>
        <w:tab/>
      </w:r>
      <w:r w:rsidR="00425E6B" w:rsidRPr="00425E6B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для реализации поставленных задач привлекать руководителей и специалистов государственных органов, научных учреждений и других организаций, создавать рабочие группы;</w:t>
      </w:r>
    </w:p>
    <w:p w14:paraId="14CC3711" w14:textId="1ADFC14F" w:rsidR="00425E6B" w:rsidRPr="00425E6B" w:rsidRDefault="00C42C8B" w:rsidP="00425E6B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  <w:t xml:space="preserve">осуществлять </w:t>
      </w:r>
      <w:r w:rsidR="00425E6B" w:rsidRPr="00425E6B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запрос и получение статистических, аналитических материалов, выводов и другой информации;</w:t>
      </w:r>
    </w:p>
    <w:p w14:paraId="796948A9" w14:textId="4836612E" w:rsidR="00425E6B" w:rsidRPr="00425E6B" w:rsidRDefault="00C42C8B" w:rsidP="00425E6B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</w:r>
      <w:r w:rsidR="00425E6B" w:rsidRPr="00425E6B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вн</w:t>
      </w: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осить</w:t>
      </w:r>
      <w:r w:rsidR="00425E6B" w:rsidRPr="00425E6B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 xml:space="preserve"> обязательны</w:t>
      </w: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е</w:t>
      </w:r>
      <w:r w:rsidR="00425E6B" w:rsidRPr="00425E6B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 xml:space="preserve"> представлени</w:t>
      </w: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я</w:t>
      </w:r>
      <w:r w:rsidR="00425E6B" w:rsidRPr="00425E6B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 xml:space="preserve"> о нарушениях законодательных актов в сфере обеспечения прав и законных интересов женщин и укрепления семьи;</w:t>
      </w:r>
    </w:p>
    <w:p w14:paraId="57157228" w14:textId="403A3AEB" w:rsidR="00425E6B" w:rsidRPr="00425E6B" w:rsidRDefault="00C42C8B" w:rsidP="00425E6B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</w:r>
      <w:r w:rsidR="00425E6B" w:rsidRPr="00425E6B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вн</w:t>
      </w: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осить</w:t>
      </w:r>
      <w:r w:rsidR="00425E6B" w:rsidRPr="00425E6B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 xml:space="preserve"> в суды заявлени</w:t>
      </w: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я</w:t>
      </w:r>
      <w:r w:rsidR="00425E6B" w:rsidRPr="00425E6B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 xml:space="preserve"> (жалоб</w:t>
      </w: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ы</w:t>
      </w:r>
      <w:r w:rsidR="00425E6B" w:rsidRPr="00425E6B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) и иск</w:t>
      </w: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и</w:t>
      </w:r>
      <w:r w:rsidR="00425E6B" w:rsidRPr="00425E6B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 xml:space="preserve"> в защиту прав и законных интересов женщин;</w:t>
      </w:r>
    </w:p>
    <w:p w14:paraId="6CC93E9F" w14:textId="14F31414" w:rsidR="00425E6B" w:rsidRPr="00425E6B" w:rsidRDefault="00C42C8B" w:rsidP="00425E6B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</w:r>
      <w:r w:rsidR="00425E6B" w:rsidRPr="00425E6B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выступать с инициативами и вносить предложения по обеспечению прав и законных интересов женщин и укреплению семьи.</w:t>
      </w:r>
    </w:p>
    <w:p w14:paraId="7F744EA5" w14:textId="4C55FA6A" w:rsidR="00425E6B" w:rsidRPr="00425E6B" w:rsidRDefault="00C42C8B" w:rsidP="00425E6B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</w:r>
      <w:r w:rsidR="00425E6B" w:rsidRPr="00425E6B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С 1 мая 2022 года размер ежемесячной заработной платы активиста женского пола в махалле определяется пропорционально количеству квартир в махалле, к которой он прикреплен:</w:t>
      </w:r>
    </w:p>
    <w:p w14:paraId="2BFA1DEF" w14:textId="1974825C" w:rsidR="00425E6B" w:rsidRPr="00425E6B" w:rsidRDefault="00C42C8B" w:rsidP="00425E6B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</w:r>
      <w:r w:rsidR="00425E6B" w:rsidRPr="00425E6B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в махалле с количеством квартир до 500 – в размере 3,5 минимального размера оплаты труда (2 млн. 877 тыс. сумов</w:t>
      </w:r>
      <w:proofErr w:type="gramStart"/>
      <w:r w:rsidR="00425E6B" w:rsidRPr="00425E6B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) ;</w:t>
      </w:r>
      <w:proofErr w:type="gramEnd"/>
    </w:p>
    <w:p w14:paraId="355B1565" w14:textId="25B9D2B3" w:rsidR="00425E6B" w:rsidRPr="00425E6B" w:rsidRDefault="00C42C8B" w:rsidP="00425E6B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</w:r>
      <w:r w:rsidR="00425E6B" w:rsidRPr="00425E6B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в махалле с количеством квартир от 501 до 1 000 – в 4-кратном размере минимальной оплаты труда (3 млн. 288 тыс. сумов</w:t>
      </w:r>
      <w:proofErr w:type="gramStart"/>
      <w:r w:rsidR="00425E6B" w:rsidRPr="00425E6B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) ;</w:t>
      </w:r>
      <w:proofErr w:type="gramEnd"/>
    </w:p>
    <w:p w14:paraId="46CC26C7" w14:textId="64D4D73F" w:rsidR="00F8763A" w:rsidRPr="00C07845" w:rsidRDefault="00C42C8B" w:rsidP="00425E6B">
      <w:pPr>
        <w:shd w:val="clear" w:color="auto" w:fill="FFFFFF"/>
        <w:spacing w:before="75" w:after="75" w:line="240" w:lineRule="auto"/>
        <w:jc w:val="both"/>
        <w:rPr>
          <w:rFonts w:ascii="Cambria" w:eastAsia="Times New Roman" w:hAnsi="Cambria" w:cs="Arial"/>
          <w:color w:val="0E0E0E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ab/>
      </w:r>
      <w:r w:rsidR="00425E6B" w:rsidRPr="00425E6B">
        <w:rPr>
          <w:rFonts w:ascii="Cambria" w:eastAsia="Times New Roman" w:hAnsi="Cambria" w:cs="Arial"/>
          <w:color w:val="0E0E0E"/>
          <w:sz w:val="28"/>
          <w:szCs w:val="28"/>
          <w:lang w:eastAsia="ru-RU"/>
        </w:rPr>
        <w:t>в махалле с количеством квартир более 1 000 – в размере 4,5-кратного минимального размера оплаты труда (3 млн. 699 тыс. сумов).</w:t>
      </w:r>
    </w:p>
    <w:sectPr w:rsidR="00F8763A" w:rsidRPr="00C0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B2742"/>
    <w:multiLevelType w:val="multilevel"/>
    <w:tmpl w:val="96C6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803EA"/>
    <w:multiLevelType w:val="multilevel"/>
    <w:tmpl w:val="C7B2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13D0E"/>
    <w:multiLevelType w:val="multilevel"/>
    <w:tmpl w:val="DFA8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FC7985"/>
    <w:multiLevelType w:val="multilevel"/>
    <w:tmpl w:val="5FF4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3A"/>
    <w:rsid w:val="00425E6B"/>
    <w:rsid w:val="004953DA"/>
    <w:rsid w:val="00C07845"/>
    <w:rsid w:val="00C42C8B"/>
    <w:rsid w:val="00D91F8D"/>
    <w:rsid w:val="00E9205B"/>
    <w:rsid w:val="00F8763A"/>
    <w:rsid w:val="00FA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2A45"/>
  <w15:chartTrackingRefBased/>
  <w15:docId w15:val="{A4DE65B7-D29E-4A52-A1C7-3B25112C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tic.norma.uz/doc/doc_5/81-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Байбурина Ильмира Равильевна</dc:creator>
  <cp:keywords/>
  <dc:description/>
  <cp:lastModifiedBy>Байбурина Ильмира Равильевна</cp:lastModifiedBy>
  <cp:revision>6</cp:revision>
  <dcterms:created xsi:type="dcterms:W3CDTF">2022-03-24T07:25:00Z</dcterms:created>
  <dcterms:modified xsi:type="dcterms:W3CDTF">2022-03-24T09:18:00Z</dcterms:modified>
</cp:coreProperties>
</file>