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5220B" w14:textId="7AA2861C" w:rsidR="00D43262" w:rsidRDefault="00D43262" w:rsidP="00D43262"/>
    <w:p w14:paraId="47FFD1B0" w14:textId="3C1C2DF8" w:rsidR="004A2E6E" w:rsidRPr="004A2E6E" w:rsidRDefault="004A2E6E" w:rsidP="004A2E6E">
      <w:pPr>
        <w:spacing w:after="0" w:line="276" w:lineRule="auto"/>
        <w:ind w:firstLine="567"/>
        <w:jc w:val="both"/>
        <w:rPr>
          <w:rFonts w:ascii="Cambria" w:hAnsi="Cambria"/>
          <w:b/>
          <w:bCs/>
          <w:sz w:val="28"/>
          <w:szCs w:val="28"/>
        </w:rPr>
      </w:pPr>
    </w:p>
    <w:p w14:paraId="201C658D" w14:textId="7C139F07" w:rsidR="004A2E6E" w:rsidRDefault="004A2E6E" w:rsidP="004A2E6E">
      <w:pPr>
        <w:spacing w:after="0" w:line="276" w:lineRule="auto"/>
        <w:ind w:firstLine="567"/>
        <w:jc w:val="center"/>
        <w:rPr>
          <w:rFonts w:ascii="Cambria" w:hAnsi="Cambria"/>
          <w:b/>
          <w:bCs/>
          <w:sz w:val="28"/>
          <w:szCs w:val="28"/>
        </w:rPr>
      </w:pPr>
      <w:r w:rsidRPr="004A2E6E">
        <w:rPr>
          <w:rFonts w:ascii="Cambria" w:hAnsi="Cambria"/>
          <w:b/>
          <w:bCs/>
          <w:sz w:val="28"/>
          <w:szCs w:val="28"/>
        </w:rPr>
        <w:t xml:space="preserve">А н </w:t>
      </w:r>
      <w:proofErr w:type="spellStart"/>
      <w:r w:rsidRPr="004A2E6E">
        <w:rPr>
          <w:rFonts w:ascii="Cambria" w:hAnsi="Cambria"/>
          <w:b/>
          <w:bCs/>
          <w:sz w:val="28"/>
          <w:szCs w:val="28"/>
        </w:rPr>
        <w:t>н</w:t>
      </w:r>
      <w:proofErr w:type="spellEnd"/>
      <w:r w:rsidRPr="004A2E6E">
        <w:rPr>
          <w:rFonts w:ascii="Cambria" w:hAnsi="Cambria"/>
          <w:b/>
          <w:bCs/>
          <w:sz w:val="28"/>
          <w:szCs w:val="28"/>
        </w:rPr>
        <w:t xml:space="preserve"> о т а ц и я</w:t>
      </w:r>
    </w:p>
    <w:p w14:paraId="17C8D5E4" w14:textId="77777777" w:rsidR="004A2E6E" w:rsidRPr="004A2E6E" w:rsidRDefault="004A2E6E" w:rsidP="004A2E6E">
      <w:pPr>
        <w:spacing w:after="0" w:line="276" w:lineRule="auto"/>
        <w:ind w:firstLine="567"/>
        <w:jc w:val="center"/>
        <w:rPr>
          <w:rFonts w:ascii="Cambria" w:hAnsi="Cambria"/>
          <w:b/>
          <w:bCs/>
          <w:sz w:val="28"/>
          <w:szCs w:val="28"/>
        </w:rPr>
      </w:pPr>
    </w:p>
    <w:p w14:paraId="6CF7FCAD" w14:textId="187506AB" w:rsidR="00D43262" w:rsidRPr="004A2E6E" w:rsidRDefault="004A2E6E" w:rsidP="004A2E6E">
      <w:pPr>
        <w:spacing w:after="0" w:line="276" w:lineRule="auto"/>
        <w:ind w:firstLine="567"/>
        <w:jc w:val="both"/>
        <w:rPr>
          <w:rFonts w:ascii="Cambria" w:hAnsi="Cambria"/>
          <w:sz w:val="28"/>
          <w:szCs w:val="28"/>
        </w:rPr>
      </w:pPr>
      <w:r w:rsidRPr="004A2E6E">
        <w:rPr>
          <w:rFonts w:ascii="Cambria" w:hAnsi="Cambria"/>
          <w:sz w:val="28"/>
          <w:szCs w:val="28"/>
        </w:rPr>
        <w:tab/>
      </w:r>
      <w:r w:rsidR="00D43262" w:rsidRPr="004A2E6E">
        <w:rPr>
          <w:rFonts w:ascii="Cambria" w:hAnsi="Cambria"/>
          <w:sz w:val="28"/>
          <w:szCs w:val="28"/>
        </w:rPr>
        <w:t>Принят Указ Президента «Об очередных реформах по улучшению предпринимательской среды и созданию условий для устойчивого экономического роста путем развития частного сектора».</w:t>
      </w:r>
    </w:p>
    <w:p w14:paraId="62D1EB21" w14:textId="5C8D8FD5" w:rsidR="00D43262" w:rsidRPr="004A2E6E" w:rsidRDefault="004A2E6E" w:rsidP="004A2E6E">
      <w:pPr>
        <w:spacing w:after="0" w:line="276" w:lineRule="auto"/>
        <w:ind w:firstLine="567"/>
        <w:jc w:val="both"/>
        <w:rPr>
          <w:rFonts w:ascii="Cambria" w:hAnsi="Cambria"/>
          <w:sz w:val="28"/>
          <w:szCs w:val="28"/>
        </w:rPr>
      </w:pPr>
      <w:r w:rsidRPr="004A2E6E">
        <w:rPr>
          <w:rFonts w:ascii="Cambria" w:hAnsi="Cambria"/>
          <w:sz w:val="28"/>
          <w:szCs w:val="28"/>
        </w:rPr>
        <w:tab/>
      </w:r>
      <w:r w:rsidR="00D43262" w:rsidRPr="004A2E6E">
        <w:rPr>
          <w:rFonts w:ascii="Cambria" w:hAnsi="Cambria"/>
          <w:sz w:val="28"/>
          <w:szCs w:val="28"/>
        </w:rPr>
        <w:t xml:space="preserve">В соответствии с Указом вводится следующее: </w:t>
      </w:r>
    </w:p>
    <w:p w14:paraId="7D7FE858" w14:textId="3DD3C3AF" w:rsidR="00D43262" w:rsidRPr="004A2E6E" w:rsidRDefault="004A2E6E" w:rsidP="004A2E6E">
      <w:pPr>
        <w:spacing w:after="0" w:line="276" w:lineRule="auto"/>
        <w:ind w:firstLine="567"/>
        <w:jc w:val="both"/>
        <w:rPr>
          <w:rFonts w:ascii="Cambria" w:hAnsi="Cambria"/>
          <w:sz w:val="28"/>
          <w:szCs w:val="28"/>
        </w:rPr>
      </w:pPr>
      <w:r w:rsidRPr="004A2E6E">
        <w:rPr>
          <w:rFonts w:ascii="Cambria" w:hAnsi="Cambria"/>
          <w:sz w:val="28"/>
          <w:szCs w:val="28"/>
        </w:rPr>
        <w:tab/>
      </w:r>
      <w:r w:rsidR="00D43262" w:rsidRPr="004A2E6E">
        <w:rPr>
          <w:rFonts w:ascii="Cambria" w:hAnsi="Cambria"/>
          <w:sz w:val="28"/>
          <w:szCs w:val="28"/>
        </w:rPr>
        <w:t>при продаже несельскохозяйственных земель через аукцион на праве собственности допускается рассрочка платежей на срок до 3 лет;</w:t>
      </w:r>
    </w:p>
    <w:p w14:paraId="649A56AE" w14:textId="0006DA3C" w:rsidR="00D43262" w:rsidRPr="004A2E6E" w:rsidRDefault="004A2E6E" w:rsidP="004A2E6E">
      <w:pPr>
        <w:spacing w:after="0" w:line="276" w:lineRule="auto"/>
        <w:ind w:firstLine="567"/>
        <w:jc w:val="both"/>
        <w:rPr>
          <w:rFonts w:ascii="Cambria" w:hAnsi="Cambria"/>
          <w:sz w:val="28"/>
          <w:szCs w:val="28"/>
        </w:rPr>
      </w:pPr>
      <w:r w:rsidRPr="004A2E6E">
        <w:rPr>
          <w:rFonts w:ascii="Cambria" w:hAnsi="Cambria"/>
          <w:sz w:val="28"/>
          <w:szCs w:val="28"/>
        </w:rPr>
        <w:tab/>
      </w:r>
      <w:r w:rsidR="00D43262" w:rsidRPr="004A2E6E">
        <w:rPr>
          <w:rFonts w:ascii="Cambria" w:hAnsi="Cambria"/>
          <w:sz w:val="28"/>
          <w:szCs w:val="28"/>
        </w:rPr>
        <w:t>покупателям, осуществившим единовременно первоначальный взнос в размере не менее 35 процентов по государственным активам и землям несельскохозяйственного назначения, проданным в рассрочку, предоставляется право заложить данное имущество в качестве обеспечения кредита.</w:t>
      </w:r>
    </w:p>
    <w:p w14:paraId="5B569D80" w14:textId="21EED21E" w:rsidR="00D43262" w:rsidRPr="004A2E6E" w:rsidRDefault="004A2E6E" w:rsidP="004A2E6E">
      <w:pPr>
        <w:spacing w:after="0" w:line="276" w:lineRule="auto"/>
        <w:ind w:firstLine="567"/>
        <w:jc w:val="both"/>
        <w:rPr>
          <w:rFonts w:ascii="Cambria" w:hAnsi="Cambria"/>
          <w:sz w:val="28"/>
          <w:szCs w:val="28"/>
        </w:rPr>
      </w:pPr>
      <w:r w:rsidRPr="004A2E6E">
        <w:rPr>
          <w:rFonts w:ascii="Cambria" w:hAnsi="Cambria"/>
          <w:sz w:val="28"/>
          <w:szCs w:val="28"/>
        </w:rPr>
        <w:tab/>
      </w:r>
      <w:r w:rsidR="00D43262" w:rsidRPr="004A2E6E">
        <w:rPr>
          <w:rFonts w:ascii="Cambria" w:hAnsi="Cambria"/>
          <w:sz w:val="28"/>
          <w:szCs w:val="28"/>
        </w:rPr>
        <w:t>С 1 мая 2022 года гражданам иностранных государств, перечень которых утверждается Кабинетом Министров, предоставляется право без требования вида на жительство в Узбекистане осуществлять инвестиции в виде приобретения следующих вновь возводимых объектов недвижимости:</w:t>
      </w:r>
    </w:p>
    <w:p w14:paraId="05CB0645" w14:textId="61FF83B7" w:rsidR="00D43262" w:rsidRPr="004A2E6E" w:rsidRDefault="004A2E6E" w:rsidP="004A2E6E">
      <w:pPr>
        <w:spacing w:after="0" w:line="276" w:lineRule="auto"/>
        <w:ind w:firstLine="567"/>
        <w:jc w:val="both"/>
        <w:rPr>
          <w:rFonts w:ascii="Cambria" w:hAnsi="Cambria"/>
          <w:sz w:val="28"/>
          <w:szCs w:val="28"/>
        </w:rPr>
      </w:pPr>
      <w:r w:rsidRPr="004A2E6E">
        <w:rPr>
          <w:rFonts w:ascii="Cambria" w:hAnsi="Cambria"/>
          <w:sz w:val="28"/>
          <w:szCs w:val="28"/>
        </w:rPr>
        <w:tab/>
      </w:r>
      <w:r w:rsidR="00D43262" w:rsidRPr="004A2E6E">
        <w:rPr>
          <w:rFonts w:ascii="Cambria" w:hAnsi="Cambria"/>
          <w:sz w:val="28"/>
          <w:szCs w:val="28"/>
        </w:rPr>
        <w:t xml:space="preserve">В Ташкентской области, городах Ташкенте и Самарканде – объекты недвижимости стоимостью в эквиваленте 150 тысяч долларов США, согласно заключенным договорам в период строительства, а также объекты недвижимости, уже принятые в эксплуатацию, стоимостью не менее 180 тысяч долларов США в эквиваленте; </w:t>
      </w:r>
    </w:p>
    <w:p w14:paraId="58BC2E6D" w14:textId="226D0183" w:rsidR="00D43262" w:rsidRPr="004A2E6E" w:rsidRDefault="004A2E6E" w:rsidP="004A2E6E">
      <w:pPr>
        <w:spacing w:after="0" w:line="276" w:lineRule="auto"/>
        <w:ind w:firstLine="567"/>
        <w:jc w:val="both"/>
        <w:rPr>
          <w:rFonts w:ascii="Cambria" w:hAnsi="Cambria"/>
          <w:sz w:val="28"/>
          <w:szCs w:val="28"/>
        </w:rPr>
      </w:pPr>
      <w:r w:rsidRPr="004A2E6E">
        <w:rPr>
          <w:rFonts w:ascii="Cambria" w:hAnsi="Cambria"/>
          <w:sz w:val="28"/>
          <w:szCs w:val="28"/>
        </w:rPr>
        <w:tab/>
      </w:r>
      <w:r w:rsidR="00D43262" w:rsidRPr="004A2E6E">
        <w:rPr>
          <w:rFonts w:ascii="Cambria" w:hAnsi="Cambria"/>
          <w:sz w:val="28"/>
          <w:szCs w:val="28"/>
        </w:rPr>
        <w:t xml:space="preserve">в других регионах – объекты недвижимости стоимостью не менее 70 тысяч долларов США в эквиваленте по договорам, заключенным в период строительства, и объекты </w:t>
      </w:r>
      <w:proofErr w:type="gramStart"/>
      <w:r w:rsidR="00D43262" w:rsidRPr="004A2E6E">
        <w:rPr>
          <w:rFonts w:ascii="Cambria" w:hAnsi="Cambria"/>
          <w:sz w:val="28"/>
          <w:szCs w:val="28"/>
        </w:rPr>
        <w:t>недвижимости,  уже</w:t>
      </w:r>
      <w:proofErr w:type="gramEnd"/>
      <w:r w:rsidR="00D43262" w:rsidRPr="004A2E6E">
        <w:rPr>
          <w:rFonts w:ascii="Cambria" w:hAnsi="Cambria"/>
          <w:sz w:val="28"/>
          <w:szCs w:val="28"/>
        </w:rPr>
        <w:t xml:space="preserve"> принятые в эксплуатацию, стоимостью не менее 85 тысяч долларов США в эквиваленте. </w:t>
      </w:r>
    </w:p>
    <w:p w14:paraId="36EEB9C6" w14:textId="77777777" w:rsidR="00D43262" w:rsidRPr="004A2E6E" w:rsidRDefault="00D43262" w:rsidP="004A2E6E">
      <w:pPr>
        <w:spacing w:after="0" w:line="276" w:lineRule="auto"/>
        <w:ind w:firstLine="567"/>
        <w:jc w:val="both"/>
        <w:rPr>
          <w:rFonts w:ascii="Cambria" w:hAnsi="Cambria"/>
          <w:sz w:val="28"/>
          <w:szCs w:val="28"/>
        </w:rPr>
      </w:pPr>
      <w:r w:rsidRPr="004A2E6E">
        <w:rPr>
          <w:rFonts w:ascii="Cambria" w:hAnsi="Cambria"/>
          <w:sz w:val="28"/>
          <w:szCs w:val="28"/>
        </w:rPr>
        <w:t>При этом, приобретение указанных объектов недвижимости не является основанием для получения гражданами иностранных государств свидетельства о постоянной регистрации и проживании в Узбекистане.</w:t>
      </w:r>
    </w:p>
    <w:p w14:paraId="2CCCD25E" w14:textId="6362404A" w:rsidR="00D43262" w:rsidRPr="004A2E6E" w:rsidRDefault="00D43262" w:rsidP="004A2E6E">
      <w:pPr>
        <w:spacing w:after="0" w:line="276" w:lineRule="auto"/>
        <w:ind w:firstLine="567"/>
        <w:jc w:val="both"/>
        <w:rPr>
          <w:rFonts w:ascii="Cambria" w:hAnsi="Cambria"/>
          <w:sz w:val="28"/>
          <w:szCs w:val="28"/>
        </w:rPr>
      </w:pPr>
      <w:r w:rsidRPr="004A2E6E">
        <w:rPr>
          <w:rFonts w:ascii="Cambria" w:hAnsi="Cambria"/>
          <w:sz w:val="28"/>
          <w:szCs w:val="28"/>
        </w:rPr>
        <w:t>Гражданам иностранных государств снижена стоимость недвижимости, необходимой для получения вида на жительство в Узбекистане, с 400 тысяч долларов США в Ташкентской области и городе Ташкенте до 300 тысяч долларов США в эквиваленте.</w:t>
      </w:r>
    </w:p>
    <w:p w14:paraId="5DB24C22" w14:textId="4B4936B7" w:rsidR="00D43262" w:rsidRPr="004A2E6E" w:rsidRDefault="00D43262" w:rsidP="004A2E6E">
      <w:pPr>
        <w:spacing w:after="0" w:line="276" w:lineRule="auto"/>
        <w:ind w:firstLine="567"/>
        <w:jc w:val="both"/>
        <w:rPr>
          <w:rFonts w:ascii="Cambria" w:hAnsi="Cambria"/>
          <w:sz w:val="28"/>
          <w:szCs w:val="28"/>
        </w:rPr>
      </w:pPr>
      <w:r w:rsidRPr="004A2E6E">
        <w:rPr>
          <w:rFonts w:ascii="Cambria" w:hAnsi="Cambria"/>
          <w:sz w:val="28"/>
          <w:szCs w:val="28"/>
        </w:rPr>
        <w:lastRenderedPageBreak/>
        <w:t xml:space="preserve"> Согласно Указу, введено следующее:</w:t>
      </w:r>
    </w:p>
    <w:p w14:paraId="054AB530" w14:textId="52C4F088" w:rsidR="00D43262" w:rsidRPr="004A2E6E" w:rsidRDefault="00D43262" w:rsidP="004A2E6E">
      <w:pPr>
        <w:spacing w:after="0" w:line="276" w:lineRule="auto"/>
        <w:ind w:firstLine="567"/>
        <w:jc w:val="both"/>
        <w:rPr>
          <w:rFonts w:ascii="Cambria" w:hAnsi="Cambria"/>
          <w:sz w:val="28"/>
          <w:szCs w:val="28"/>
        </w:rPr>
      </w:pPr>
      <w:r w:rsidRPr="004A2E6E">
        <w:rPr>
          <w:rFonts w:ascii="Cambria" w:hAnsi="Cambria"/>
          <w:sz w:val="28"/>
          <w:szCs w:val="28"/>
        </w:rPr>
        <w:t xml:space="preserve"> антимонопольные меры не применяются к предпринимателям, чья выручка от продаж за последний год не превышает 10 тысяч БРВ (2,7 млрд сумов);</w:t>
      </w:r>
    </w:p>
    <w:p w14:paraId="3EBEBCDD" w14:textId="684C7A61" w:rsidR="00D43262" w:rsidRPr="004A2E6E" w:rsidRDefault="00D43262" w:rsidP="004A2E6E">
      <w:pPr>
        <w:spacing w:after="0" w:line="276" w:lineRule="auto"/>
        <w:ind w:firstLine="567"/>
        <w:jc w:val="both"/>
        <w:rPr>
          <w:rFonts w:ascii="Cambria" w:hAnsi="Cambria"/>
          <w:sz w:val="28"/>
          <w:szCs w:val="28"/>
        </w:rPr>
      </w:pPr>
      <w:r w:rsidRPr="004A2E6E">
        <w:rPr>
          <w:rFonts w:ascii="Cambria" w:hAnsi="Cambria"/>
          <w:sz w:val="28"/>
          <w:szCs w:val="28"/>
        </w:rPr>
        <w:t xml:space="preserve"> С 1 сентября 2022 года к хозяйствующим субъектам, совершившим </w:t>
      </w:r>
      <w:proofErr w:type="spellStart"/>
      <w:r w:rsidRPr="004A2E6E">
        <w:rPr>
          <w:rFonts w:ascii="Cambria" w:hAnsi="Cambria"/>
          <w:sz w:val="28"/>
          <w:szCs w:val="28"/>
        </w:rPr>
        <w:t>антиконкурентные</w:t>
      </w:r>
      <w:proofErr w:type="spellEnd"/>
      <w:r w:rsidRPr="004A2E6E">
        <w:rPr>
          <w:rFonts w:ascii="Cambria" w:hAnsi="Cambria"/>
          <w:sz w:val="28"/>
          <w:szCs w:val="28"/>
        </w:rPr>
        <w:t xml:space="preserve"> действия, будут применяться финансовые штрафы за:</w:t>
      </w:r>
    </w:p>
    <w:p w14:paraId="3660355D" w14:textId="58FFC76F" w:rsidR="00D43262" w:rsidRPr="004A2E6E" w:rsidRDefault="00D43262" w:rsidP="004A2E6E">
      <w:pPr>
        <w:spacing w:after="0" w:line="276" w:lineRule="auto"/>
        <w:ind w:firstLine="567"/>
        <w:jc w:val="both"/>
        <w:rPr>
          <w:rFonts w:ascii="Cambria" w:hAnsi="Cambria"/>
          <w:sz w:val="28"/>
          <w:szCs w:val="28"/>
        </w:rPr>
      </w:pPr>
      <w:r w:rsidRPr="004A2E6E">
        <w:rPr>
          <w:rFonts w:ascii="Cambria" w:hAnsi="Cambria"/>
          <w:sz w:val="28"/>
          <w:szCs w:val="28"/>
        </w:rPr>
        <w:t>координацию договоренностей и хозяйственной деятельности, ведущих к ограничению конкуренции на товарном и финансовом рынке;</w:t>
      </w:r>
    </w:p>
    <w:p w14:paraId="23EC0AC7" w14:textId="6792D240" w:rsidR="00D43262" w:rsidRPr="004A2E6E" w:rsidRDefault="00D43262" w:rsidP="004A2E6E">
      <w:pPr>
        <w:spacing w:after="0" w:line="276" w:lineRule="auto"/>
        <w:ind w:firstLine="567"/>
        <w:jc w:val="both"/>
        <w:rPr>
          <w:rFonts w:ascii="Cambria" w:hAnsi="Cambria"/>
          <w:sz w:val="28"/>
          <w:szCs w:val="28"/>
        </w:rPr>
      </w:pPr>
      <w:r w:rsidRPr="004A2E6E">
        <w:rPr>
          <w:rFonts w:ascii="Cambria" w:hAnsi="Cambria"/>
          <w:sz w:val="28"/>
          <w:szCs w:val="28"/>
        </w:rPr>
        <w:t>необоснованное завышение цен на социально-стратегически значимые товары и недобросовестную конкуренцию;</w:t>
      </w:r>
    </w:p>
    <w:p w14:paraId="31662D8A" w14:textId="0698D4CB" w:rsidR="00D43262" w:rsidRPr="004A2E6E" w:rsidRDefault="00D43262" w:rsidP="004A2E6E">
      <w:pPr>
        <w:spacing w:after="0" w:line="276" w:lineRule="auto"/>
        <w:ind w:firstLine="567"/>
        <w:jc w:val="both"/>
        <w:rPr>
          <w:rFonts w:ascii="Cambria" w:hAnsi="Cambria"/>
          <w:sz w:val="28"/>
          <w:szCs w:val="28"/>
        </w:rPr>
      </w:pPr>
      <w:r w:rsidRPr="004A2E6E">
        <w:rPr>
          <w:rFonts w:ascii="Cambria" w:hAnsi="Cambria"/>
          <w:sz w:val="28"/>
          <w:szCs w:val="28"/>
        </w:rPr>
        <w:t>нарушение конкуренции при слиянии, поглощении и заключении сделок купли-продажи акций хозяйствующими субъектами;</w:t>
      </w:r>
    </w:p>
    <w:p w14:paraId="37EDD848" w14:textId="302826AB" w:rsidR="00D43262" w:rsidRPr="004A2E6E" w:rsidRDefault="00D43262" w:rsidP="004A2E6E">
      <w:pPr>
        <w:spacing w:after="0" w:line="276" w:lineRule="auto"/>
        <w:ind w:firstLine="567"/>
        <w:jc w:val="both"/>
        <w:rPr>
          <w:rFonts w:ascii="Cambria" w:hAnsi="Cambria"/>
          <w:sz w:val="28"/>
          <w:szCs w:val="28"/>
        </w:rPr>
      </w:pPr>
      <w:r w:rsidRPr="004A2E6E">
        <w:rPr>
          <w:rFonts w:ascii="Cambria" w:hAnsi="Cambria"/>
          <w:sz w:val="28"/>
          <w:szCs w:val="28"/>
        </w:rPr>
        <w:t xml:space="preserve">осуществление </w:t>
      </w:r>
      <w:proofErr w:type="spellStart"/>
      <w:r w:rsidRPr="004A2E6E">
        <w:rPr>
          <w:rFonts w:ascii="Cambria" w:hAnsi="Cambria"/>
          <w:sz w:val="28"/>
          <w:szCs w:val="28"/>
        </w:rPr>
        <w:t>антиконкурентных</w:t>
      </w:r>
      <w:proofErr w:type="spellEnd"/>
      <w:r w:rsidRPr="004A2E6E">
        <w:rPr>
          <w:rFonts w:ascii="Cambria" w:hAnsi="Cambria"/>
          <w:sz w:val="28"/>
          <w:szCs w:val="28"/>
        </w:rPr>
        <w:t xml:space="preserve"> действий на публичных торгах и нарушение антимонопольных требований.</w:t>
      </w:r>
    </w:p>
    <w:p w14:paraId="1D910A10" w14:textId="0F604D6F" w:rsidR="00D43262" w:rsidRPr="004A2E6E" w:rsidRDefault="00D43262" w:rsidP="004A2E6E">
      <w:pPr>
        <w:spacing w:after="0" w:line="276" w:lineRule="auto"/>
        <w:ind w:firstLine="567"/>
        <w:jc w:val="both"/>
        <w:rPr>
          <w:rFonts w:ascii="Cambria" w:hAnsi="Cambria"/>
          <w:sz w:val="28"/>
          <w:szCs w:val="28"/>
        </w:rPr>
      </w:pPr>
      <w:r w:rsidRPr="004A2E6E">
        <w:rPr>
          <w:rFonts w:ascii="Cambria" w:hAnsi="Cambria"/>
          <w:sz w:val="28"/>
          <w:szCs w:val="28"/>
        </w:rPr>
        <w:t xml:space="preserve"> С 1 мая 2022 года подоходный налог с доходов нерезидента, получаемых из источников в Узбекистане, устанавливается в размере 12 процентов (ранее - до 20 процентов).</w:t>
      </w:r>
    </w:p>
    <w:p w14:paraId="71CB922D" w14:textId="6E2BDD0A" w:rsidR="00D43262" w:rsidRPr="004A2E6E" w:rsidRDefault="00D43262" w:rsidP="004A2E6E">
      <w:pPr>
        <w:spacing w:after="0" w:line="276" w:lineRule="auto"/>
        <w:ind w:firstLine="567"/>
        <w:jc w:val="both"/>
        <w:rPr>
          <w:rFonts w:ascii="Cambria" w:hAnsi="Cambria"/>
          <w:sz w:val="28"/>
          <w:szCs w:val="28"/>
        </w:rPr>
      </w:pPr>
      <w:r w:rsidRPr="004A2E6E">
        <w:rPr>
          <w:rFonts w:ascii="Cambria" w:hAnsi="Cambria"/>
          <w:sz w:val="28"/>
          <w:szCs w:val="28"/>
        </w:rPr>
        <w:t xml:space="preserve">С 1 июля 2022 года льготы по таможенным пошлинам будут предоставляться только в соответствии с законодательством. </w:t>
      </w:r>
    </w:p>
    <w:p w14:paraId="70CE3ECB" w14:textId="23CBB25C" w:rsidR="00D43262" w:rsidRPr="004A2E6E" w:rsidRDefault="00D43262" w:rsidP="004A2E6E">
      <w:pPr>
        <w:spacing w:after="0" w:line="276" w:lineRule="auto"/>
        <w:ind w:firstLine="567"/>
        <w:jc w:val="both"/>
        <w:rPr>
          <w:rFonts w:ascii="Cambria" w:hAnsi="Cambria"/>
          <w:sz w:val="28"/>
          <w:szCs w:val="28"/>
        </w:rPr>
      </w:pPr>
      <w:r w:rsidRPr="004A2E6E">
        <w:rPr>
          <w:rFonts w:ascii="Cambria" w:hAnsi="Cambria"/>
          <w:sz w:val="28"/>
          <w:szCs w:val="28"/>
        </w:rPr>
        <w:t xml:space="preserve"> В соответствии с данным Указом, будет внедрена стратегия развития инфраструктуры общественного транспорта в городе Нукусе и во всех областных центрах на примере города Ташкента.</w:t>
      </w:r>
    </w:p>
    <w:p w14:paraId="01053A91" w14:textId="2F440392" w:rsidR="00D43262" w:rsidRPr="004A2E6E" w:rsidRDefault="00D43262" w:rsidP="004A2E6E">
      <w:pPr>
        <w:spacing w:after="0" w:line="276" w:lineRule="auto"/>
        <w:ind w:firstLine="567"/>
        <w:jc w:val="both"/>
        <w:rPr>
          <w:rFonts w:ascii="Cambria" w:hAnsi="Cambria"/>
          <w:sz w:val="28"/>
          <w:szCs w:val="28"/>
        </w:rPr>
      </w:pPr>
      <w:r w:rsidRPr="004A2E6E">
        <w:rPr>
          <w:rFonts w:ascii="Cambria" w:hAnsi="Cambria"/>
          <w:sz w:val="28"/>
          <w:szCs w:val="28"/>
        </w:rPr>
        <w:t>Согласно Указу, с 1 июля 2022 года на предприятиях с государственным участием будет введена единая политика стимулирования членов наблюдательного совета и оплаты труда членов исполнительного органа.</w:t>
      </w:r>
    </w:p>
    <w:p w14:paraId="03565884" w14:textId="2C114CEA" w:rsidR="00D43262" w:rsidRPr="004A2E6E" w:rsidRDefault="00D43262" w:rsidP="004A2E6E">
      <w:pPr>
        <w:spacing w:after="0" w:line="276" w:lineRule="auto"/>
        <w:ind w:firstLine="567"/>
        <w:jc w:val="both"/>
        <w:rPr>
          <w:rFonts w:ascii="Cambria" w:hAnsi="Cambria"/>
          <w:sz w:val="28"/>
          <w:szCs w:val="28"/>
        </w:rPr>
      </w:pPr>
      <w:r w:rsidRPr="004A2E6E">
        <w:rPr>
          <w:rFonts w:ascii="Cambria" w:hAnsi="Cambria"/>
          <w:sz w:val="28"/>
          <w:szCs w:val="28"/>
        </w:rPr>
        <w:t>При этом, любые дополнительные выплаты членам исполнительного органа, кроме заработной платы и вознаграждения за год, были отменены.</w:t>
      </w:r>
    </w:p>
    <w:p w14:paraId="4D50FBBF" w14:textId="292A99B7" w:rsidR="00D43262" w:rsidRPr="004A2E6E" w:rsidRDefault="00D43262" w:rsidP="004A2E6E">
      <w:pPr>
        <w:spacing w:after="0" w:line="276" w:lineRule="auto"/>
        <w:ind w:firstLine="567"/>
        <w:jc w:val="both"/>
        <w:rPr>
          <w:rFonts w:ascii="Cambria" w:hAnsi="Cambria"/>
          <w:sz w:val="28"/>
          <w:szCs w:val="28"/>
        </w:rPr>
      </w:pPr>
      <w:r w:rsidRPr="004A2E6E">
        <w:rPr>
          <w:rFonts w:ascii="Cambria" w:hAnsi="Cambria"/>
          <w:sz w:val="28"/>
          <w:szCs w:val="28"/>
        </w:rPr>
        <w:t>Предприятиям с государственным участием запрещается:</w:t>
      </w:r>
    </w:p>
    <w:p w14:paraId="63683198" w14:textId="6257CC2F" w:rsidR="00D43262" w:rsidRPr="004A2E6E" w:rsidRDefault="00D43262" w:rsidP="004A2E6E">
      <w:pPr>
        <w:spacing w:after="0" w:line="276" w:lineRule="auto"/>
        <w:ind w:firstLine="567"/>
        <w:jc w:val="both"/>
        <w:rPr>
          <w:rFonts w:ascii="Cambria" w:hAnsi="Cambria"/>
          <w:sz w:val="28"/>
          <w:szCs w:val="28"/>
        </w:rPr>
      </w:pPr>
      <w:r w:rsidRPr="004A2E6E">
        <w:rPr>
          <w:rFonts w:ascii="Cambria" w:hAnsi="Cambria"/>
          <w:sz w:val="28"/>
          <w:szCs w:val="28"/>
        </w:rPr>
        <w:t>приобретать или строить новые объекты, не характерных для их деятельности;</w:t>
      </w:r>
    </w:p>
    <w:p w14:paraId="2F438836" w14:textId="2259BC58" w:rsidR="00D43262" w:rsidRPr="004A2E6E" w:rsidRDefault="00D43262" w:rsidP="004A2E6E">
      <w:pPr>
        <w:spacing w:after="0" w:line="276" w:lineRule="auto"/>
        <w:ind w:firstLine="567"/>
        <w:jc w:val="both"/>
        <w:rPr>
          <w:rFonts w:ascii="Cambria" w:hAnsi="Cambria"/>
          <w:sz w:val="28"/>
          <w:szCs w:val="28"/>
        </w:rPr>
      </w:pPr>
      <w:r w:rsidRPr="004A2E6E">
        <w:rPr>
          <w:rFonts w:ascii="Cambria" w:hAnsi="Cambria"/>
          <w:sz w:val="28"/>
          <w:szCs w:val="28"/>
        </w:rPr>
        <w:t>заниматься дополнительной деятельностью в дополнение к деятельности в конкурентноспособной развитой области;</w:t>
      </w:r>
    </w:p>
    <w:p w14:paraId="4CCD39FC" w14:textId="679B4B3E" w:rsidR="00D43262" w:rsidRPr="004A2E6E" w:rsidRDefault="00D43262" w:rsidP="004A2E6E">
      <w:pPr>
        <w:spacing w:after="0" w:line="276" w:lineRule="auto"/>
        <w:ind w:firstLine="567"/>
        <w:jc w:val="both"/>
        <w:rPr>
          <w:rFonts w:ascii="Cambria" w:hAnsi="Cambria"/>
          <w:sz w:val="28"/>
          <w:szCs w:val="28"/>
        </w:rPr>
      </w:pPr>
      <w:r w:rsidRPr="004A2E6E">
        <w:rPr>
          <w:rFonts w:ascii="Cambria" w:hAnsi="Cambria"/>
          <w:sz w:val="28"/>
          <w:szCs w:val="28"/>
        </w:rPr>
        <w:t>участвовать в уставном капитале хозяйственных обществ, деятельность которых не характерна для них, или приобретать доли в нем.</w:t>
      </w:r>
    </w:p>
    <w:p w14:paraId="59E070A8" w14:textId="4BA26A1B" w:rsidR="00D43262" w:rsidRPr="004A2E6E" w:rsidRDefault="00D43262" w:rsidP="004A2E6E">
      <w:pPr>
        <w:spacing w:after="0" w:line="276" w:lineRule="auto"/>
        <w:ind w:firstLine="567"/>
        <w:jc w:val="both"/>
        <w:rPr>
          <w:rFonts w:ascii="Cambria" w:hAnsi="Cambria"/>
          <w:sz w:val="28"/>
          <w:szCs w:val="28"/>
        </w:rPr>
      </w:pPr>
      <w:r w:rsidRPr="004A2E6E">
        <w:rPr>
          <w:rFonts w:ascii="Cambria" w:hAnsi="Cambria"/>
          <w:sz w:val="28"/>
          <w:szCs w:val="28"/>
        </w:rPr>
        <w:lastRenderedPageBreak/>
        <w:t>Соглашения о продаже имущества, инвестировании в другое предприятие предприятиями с государственным участием и банками с долей государства 50 процентов и более в обязательном порядке согласовываются с наблюдательным советом предприятий.</w:t>
      </w:r>
    </w:p>
    <w:p w14:paraId="7439F31B" w14:textId="53D4740D" w:rsidR="00D43262" w:rsidRPr="004A2E6E" w:rsidRDefault="00D43262" w:rsidP="004A2E6E">
      <w:pPr>
        <w:spacing w:after="0" w:line="276" w:lineRule="auto"/>
        <w:ind w:firstLine="567"/>
        <w:jc w:val="both"/>
        <w:rPr>
          <w:rFonts w:ascii="Cambria" w:hAnsi="Cambria"/>
          <w:sz w:val="28"/>
          <w:szCs w:val="28"/>
        </w:rPr>
      </w:pPr>
      <w:r w:rsidRPr="004A2E6E">
        <w:rPr>
          <w:rFonts w:ascii="Cambria" w:hAnsi="Cambria"/>
          <w:sz w:val="28"/>
          <w:szCs w:val="28"/>
        </w:rPr>
        <w:t>Ежегодные расходы государственных предприятий на спонсорство не должны превышать 3 процента от чистой прибыли, полученной в предыдущем году.</w:t>
      </w:r>
    </w:p>
    <w:p w14:paraId="6E305781" w14:textId="77777777" w:rsidR="00D43262" w:rsidRPr="004A2E6E" w:rsidRDefault="00D43262" w:rsidP="004A2E6E">
      <w:pPr>
        <w:spacing w:after="0" w:line="276" w:lineRule="auto"/>
        <w:ind w:firstLine="567"/>
        <w:jc w:val="both"/>
        <w:rPr>
          <w:rFonts w:ascii="Cambria" w:hAnsi="Cambria"/>
          <w:sz w:val="28"/>
          <w:szCs w:val="28"/>
        </w:rPr>
      </w:pPr>
    </w:p>
    <w:sectPr w:rsidR="00D43262" w:rsidRPr="004A2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49"/>
    <w:rsid w:val="003D7849"/>
    <w:rsid w:val="004A2E6E"/>
    <w:rsid w:val="00D4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B6BC7"/>
  <w15:chartTrackingRefBased/>
  <w15:docId w15:val="{843EF024-7DAC-4E23-B246-BB694EC5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Байбурина Ильмира Равильевна</dc:creator>
  <cp:keywords/>
  <dc:description/>
  <cp:lastModifiedBy>Байбурина Ильмира Равильевна</cp:lastModifiedBy>
  <cp:revision>3</cp:revision>
  <dcterms:created xsi:type="dcterms:W3CDTF">2022-04-13T05:47:00Z</dcterms:created>
  <dcterms:modified xsi:type="dcterms:W3CDTF">2022-04-13T06:23:00Z</dcterms:modified>
</cp:coreProperties>
</file>