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20B" w14:textId="7AA2861C" w:rsidR="00D43262" w:rsidRDefault="00D43262" w:rsidP="00D43262"/>
    <w:p w14:paraId="47FFD1B0" w14:textId="3C1C2DF8" w:rsidR="004A2E6E" w:rsidRPr="004A2E6E" w:rsidRDefault="004A2E6E" w:rsidP="004A2E6E">
      <w:pPr>
        <w:spacing w:after="0" w:line="276" w:lineRule="auto"/>
        <w:ind w:firstLine="567"/>
        <w:jc w:val="both"/>
        <w:rPr>
          <w:rFonts w:ascii="Cambria" w:hAnsi="Cambria"/>
          <w:b/>
          <w:bCs/>
          <w:sz w:val="28"/>
          <w:szCs w:val="28"/>
        </w:rPr>
      </w:pPr>
    </w:p>
    <w:p w14:paraId="201C658D" w14:textId="7C139F07" w:rsidR="004A2E6E" w:rsidRDefault="004A2E6E" w:rsidP="004A2E6E">
      <w:pPr>
        <w:spacing w:after="0" w:line="276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  <w:r w:rsidRPr="004A2E6E">
        <w:rPr>
          <w:rFonts w:ascii="Cambria" w:hAnsi="Cambria"/>
          <w:b/>
          <w:bCs/>
          <w:sz w:val="28"/>
          <w:szCs w:val="28"/>
        </w:rPr>
        <w:t xml:space="preserve">А н </w:t>
      </w:r>
      <w:proofErr w:type="spellStart"/>
      <w:r w:rsidRPr="004A2E6E">
        <w:rPr>
          <w:rFonts w:ascii="Cambria" w:hAnsi="Cambria"/>
          <w:b/>
          <w:bCs/>
          <w:sz w:val="28"/>
          <w:szCs w:val="28"/>
        </w:rPr>
        <w:t>н</w:t>
      </w:r>
      <w:proofErr w:type="spellEnd"/>
      <w:r w:rsidRPr="004A2E6E">
        <w:rPr>
          <w:rFonts w:ascii="Cambria" w:hAnsi="Cambria"/>
          <w:b/>
          <w:bCs/>
          <w:sz w:val="28"/>
          <w:szCs w:val="28"/>
        </w:rPr>
        <w:t xml:space="preserve"> о т а ц и я</w:t>
      </w:r>
    </w:p>
    <w:p w14:paraId="17C8D5E4" w14:textId="77777777" w:rsidR="004A2E6E" w:rsidRPr="004A2E6E" w:rsidRDefault="004A2E6E" w:rsidP="004A2E6E">
      <w:pPr>
        <w:spacing w:after="0" w:line="276" w:lineRule="auto"/>
        <w:ind w:firstLine="567"/>
        <w:jc w:val="center"/>
        <w:rPr>
          <w:rFonts w:ascii="Cambria" w:hAnsi="Cambria"/>
          <w:b/>
          <w:bCs/>
          <w:sz w:val="28"/>
          <w:szCs w:val="28"/>
        </w:rPr>
      </w:pPr>
    </w:p>
    <w:p w14:paraId="6CF7FCAD" w14:textId="187506AB" w:rsidR="00D43262" w:rsidRPr="004A2E6E" w:rsidRDefault="004A2E6E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ab/>
      </w:r>
      <w:r w:rsidR="00D43262" w:rsidRPr="004A2E6E">
        <w:rPr>
          <w:rFonts w:ascii="Cambria" w:hAnsi="Cambria"/>
          <w:sz w:val="28"/>
          <w:szCs w:val="28"/>
        </w:rPr>
        <w:t>Принят Указ Президента «Об очередных реформах по улучшению предпринимательской среды и созданию условий для устойчивого экономического роста путем развития частного сектора».</w:t>
      </w:r>
    </w:p>
    <w:p w14:paraId="62D1EB21" w14:textId="5C8D8FD5" w:rsidR="00D43262" w:rsidRPr="004A2E6E" w:rsidRDefault="004A2E6E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ab/>
      </w:r>
      <w:r w:rsidR="00D43262" w:rsidRPr="004A2E6E">
        <w:rPr>
          <w:rFonts w:ascii="Cambria" w:hAnsi="Cambria"/>
          <w:sz w:val="28"/>
          <w:szCs w:val="28"/>
        </w:rPr>
        <w:t xml:space="preserve">В соответствии с Указом вводится следующее: </w:t>
      </w:r>
    </w:p>
    <w:p w14:paraId="7D7FE858" w14:textId="3DD3C3AF" w:rsidR="00D43262" w:rsidRPr="004A2E6E" w:rsidRDefault="004A2E6E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ab/>
      </w:r>
      <w:r w:rsidR="00D43262" w:rsidRPr="004A2E6E">
        <w:rPr>
          <w:rFonts w:ascii="Cambria" w:hAnsi="Cambria"/>
          <w:sz w:val="28"/>
          <w:szCs w:val="28"/>
        </w:rPr>
        <w:t>при продаже несельскохозяйственных земель через аукцион на праве собственности допускается рассрочка платежей на срок до 3 лет;</w:t>
      </w:r>
    </w:p>
    <w:p w14:paraId="649A56AE" w14:textId="0006DA3C" w:rsidR="00D43262" w:rsidRPr="004A2E6E" w:rsidRDefault="004A2E6E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ab/>
      </w:r>
      <w:r w:rsidR="00D43262" w:rsidRPr="004A2E6E">
        <w:rPr>
          <w:rFonts w:ascii="Cambria" w:hAnsi="Cambria"/>
          <w:sz w:val="28"/>
          <w:szCs w:val="28"/>
        </w:rPr>
        <w:t>покупателям, осуществившим единовременно первоначальный взнос в размере не менее 35 процентов по государственным активам и землям несельскохозяйственного назначения, проданным в рассрочку, предоставляется право заложить данное имущество в качестве обеспечения кредита.</w:t>
      </w:r>
    </w:p>
    <w:p w14:paraId="5B569D80" w14:textId="21EED21E" w:rsidR="00D43262" w:rsidRPr="004A2E6E" w:rsidRDefault="004A2E6E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ab/>
      </w:r>
      <w:r w:rsidR="00D43262" w:rsidRPr="004A2E6E">
        <w:rPr>
          <w:rFonts w:ascii="Cambria" w:hAnsi="Cambria"/>
          <w:sz w:val="28"/>
          <w:szCs w:val="28"/>
        </w:rPr>
        <w:t>С 1 мая 2022 года гражданам иностранных государств, перечень которых утверждается Кабинетом Министров, предоставляется право без требования вида на жительство в Узбекистане осуществлять инвестиции в виде приобретения следующих вновь возводимых объектов недвижимости:</w:t>
      </w:r>
    </w:p>
    <w:p w14:paraId="05CB0645" w14:textId="61FF83B7" w:rsidR="00D43262" w:rsidRPr="004A2E6E" w:rsidRDefault="004A2E6E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ab/>
      </w:r>
      <w:r w:rsidR="00D43262" w:rsidRPr="004A2E6E">
        <w:rPr>
          <w:rFonts w:ascii="Cambria" w:hAnsi="Cambria"/>
          <w:sz w:val="28"/>
          <w:szCs w:val="28"/>
        </w:rPr>
        <w:t xml:space="preserve">В Ташкентской области, городах Ташкенте и Самарканде – объекты недвижимости стоимостью в эквиваленте 150 тысяч долларов США, согласно заключенным договорам в период строительства, а также объекты недвижимости, уже принятые в эксплуатацию, стоимостью не менее 180 тысяч долларов США в эквиваленте; </w:t>
      </w:r>
    </w:p>
    <w:p w14:paraId="58BC2E6D" w14:textId="226D0183" w:rsidR="00D43262" w:rsidRPr="004A2E6E" w:rsidRDefault="004A2E6E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ab/>
      </w:r>
      <w:r w:rsidR="00D43262" w:rsidRPr="004A2E6E">
        <w:rPr>
          <w:rFonts w:ascii="Cambria" w:hAnsi="Cambria"/>
          <w:sz w:val="28"/>
          <w:szCs w:val="28"/>
        </w:rPr>
        <w:t xml:space="preserve">в других регионах – объекты недвижимости стоимостью не менее 70 тысяч долларов США в эквиваленте по договорам, заключенным в период строительства, и объекты </w:t>
      </w:r>
      <w:proofErr w:type="gramStart"/>
      <w:r w:rsidR="00D43262" w:rsidRPr="004A2E6E">
        <w:rPr>
          <w:rFonts w:ascii="Cambria" w:hAnsi="Cambria"/>
          <w:sz w:val="28"/>
          <w:szCs w:val="28"/>
        </w:rPr>
        <w:t>недвижимости,  уже</w:t>
      </w:r>
      <w:proofErr w:type="gramEnd"/>
      <w:r w:rsidR="00D43262" w:rsidRPr="004A2E6E">
        <w:rPr>
          <w:rFonts w:ascii="Cambria" w:hAnsi="Cambria"/>
          <w:sz w:val="28"/>
          <w:szCs w:val="28"/>
        </w:rPr>
        <w:t xml:space="preserve"> принятые в эксплуатацию, стоимостью не менее 85 тысяч долларов США в эквиваленте. </w:t>
      </w:r>
    </w:p>
    <w:p w14:paraId="36EEB9C6" w14:textId="77777777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При этом, приобретение указанных объектов недвижимости не является основанием для получения гражданами иностранных государств свидетельства о постоянной регистрации и проживании в Узбекистане.</w:t>
      </w:r>
    </w:p>
    <w:p w14:paraId="2CCCD25E" w14:textId="6362404A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Гражданам иностранных государств снижена стоимость недвижимости, необходимой для получения вида на жительство в Узбекистане, с 400 тысяч долларов США в Ташкентской области и городе Ташкенте до 300 тысяч долларов США в эквиваленте.</w:t>
      </w:r>
    </w:p>
    <w:p w14:paraId="5DB24C22" w14:textId="4B4936B7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lastRenderedPageBreak/>
        <w:t xml:space="preserve"> Согласно Указу, введено следующее:</w:t>
      </w:r>
    </w:p>
    <w:p w14:paraId="054AB530" w14:textId="52C4F088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 xml:space="preserve"> антимонопольные меры не применяются к предпринимателям, чья выручка от продаж за последний год не превышает 10 тысяч БРВ (2,7 млрд сумов);</w:t>
      </w:r>
    </w:p>
    <w:p w14:paraId="3EBEBCDD" w14:textId="684C7A61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 xml:space="preserve"> С 1 сентября 2022 года к хозяйствующим субъектам, совершившим </w:t>
      </w:r>
      <w:proofErr w:type="spellStart"/>
      <w:r w:rsidRPr="004A2E6E">
        <w:rPr>
          <w:rFonts w:ascii="Cambria" w:hAnsi="Cambria"/>
          <w:sz w:val="28"/>
          <w:szCs w:val="28"/>
        </w:rPr>
        <w:t>антиконкурентные</w:t>
      </w:r>
      <w:proofErr w:type="spellEnd"/>
      <w:r w:rsidRPr="004A2E6E">
        <w:rPr>
          <w:rFonts w:ascii="Cambria" w:hAnsi="Cambria"/>
          <w:sz w:val="28"/>
          <w:szCs w:val="28"/>
        </w:rPr>
        <w:t xml:space="preserve"> действия, будут применяться финансовые штрафы за:</w:t>
      </w:r>
    </w:p>
    <w:p w14:paraId="3660355D" w14:textId="58FFC76F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координацию договоренностей и хозяйственной деятельности, ведущих к ограничению конкуренции на товарном и финансовом рынке;</w:t>
      </w:r>
    </w:p>
    <w:p w14:paraId="23EC0AC7" w14:textId="6792D240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необоснованное завышение цен на социально-стратегически значимые товары и недобросовестную конкуренцию;</w:t>
      </w:r>
    </w:p>
    <w:p w14:paraId="31662D8A" w14:textId="0698D4CB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нарушение конкуренции при слиянии, поглощении и заключении сделок купли-продажи акций хозяйствующими субъектами;</w:t>
      </w:r>
    </w:p>
    <w:p w14:paraId="37EDD848" w14:textId="302826AB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 xml:space="preserve">осуществление </w:t>
      </w:r>
      <w:proofErr w:type="spellStart"/>
      <w:r w:rsidRPr="004A2E6E">
        <w:rPr>
          <w:rFonts w:ascii="Cambria" w:hAnsi="Cambria"/>
          <w:sz w:val="28"/>
          <w:szCs w:val="28"/>
        </w:rPr>
        <w:t>антиконкурентных</w:t>
      </w:r>
      <w:proofErr w:type="spellEnd"/>
      <w:r w:rsidRPr="004A2E6E">
        <w:rPr>
          <w:rFonts w:ascii="Cambria" w:hAnsi="Cambria"/>
          <w:sz w:val="28"/>
          <w:szCs w:val="28"/>
        </w:rPr>
        <w:t xml:space="preserve"> действий на публичных торгах и нарушение антимонопольных требований.</w:t>
      </w:r>
    </w:p>
    <w:p w14:paraId="1D910A10" w14:textId="0F604D6F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 xml:space="preserve"> С 1 мая 2022 года подоходный налог с доходов нерезидента, получаемых из источников в Узбекистане, устанавливается в размере 12 процентов (ранее - до 20 процентов).</w:t>
      </w:r>
    </w:p>
    <w:p w14:paraId="71CB922D" w14:textId="6E2BDD0A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 xml:space="preserve">С 1 июля 2022 года льготы по таможенным пошлинам будут предоставляться только в соответствии с законодательством. </w:t>
      </w:r>
    </w:p>
    <w:p w14:paraId="70CE3ECB" w14:textId="23CBB25C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 xml:space="preserve"> В соответствии с данным Указом, будет внедрена стратегия развития инфраструктуры общественного транспорта в городе Нукусе и во всех областных центрах на примере города Ташкента.</w:t>
      </w:r>
    </w:p>
    <w:p w14:paraId="01053A91" w14:textId="2F440392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Согласно Указу, с 1 июля 2022 года на предприятиях с государственным участием будет введена единая политика стимулирования членов наблюдательного совета и оплаты труда членов исполнительного органа.</w:t>
      </w:r>
    </w:p>
    <w:p w14:paraId="03565884" w14:textId="2C114CEA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При этом, любые дополнительные выплаты членам исполнительного органа, кроме заработной платы и вознаграждения за год, были отменены.</w:t>
      </w:r>
    </w:p>
    <w:p w14:paraId="4D50FBBF" w14:textId="292A99B7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Предприятиям с государственным участием запрещается:</w:t>
      </w:r>
    </w:p>
    <w:p w14:paraId="63683198" w14:textId="6257CC2F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приобретать или строить новые объекты, не характерных для их деятельности;</w:t>
      </w:r>
    </w:p>
    <w:p w14:paraId="2F438836" w14:textId="2259BC58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заниматься дополнительной деятельностью в дополнение к деятельности в конкурентноспособной развитой области;</w:t>
      </w:r>
    </w:p>
    <w:p w14:paraId="4CCD39FC" w14:textId="679B4B3E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участвовать в уставном капитале хозяйственных обществ, деятельность которых не характерна для них, или приобретать доли в нем.</w:t>
      </w:r>
    </w:p>
    <w:p w14:paraId="59E070A8" w14:textId="4BA26A1B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lastRenderedPageBreak/>
        <w:t>Соглашения о продаже имущества, инвестировании в другое предприятие предприятиями с государственным участием и банками с долей государства 50 процентов и более в обязательном порядке согласовываются с наблюдательным советом предприятий.</w:t>
      </w:r>
    </w:p>
    <w:p w14:paraId="7439F31B" w14:textId="53D4740D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  <w:r w:rsidRPr="004A2E6E">
        <w:rPr>
          <w:rFonts w:ascii="Cambria" w:hAnsi="Cambria"/>
          <w:sz w:val="28"/>
          <w:szCs w:val="28"/>
        </w:rPr>
        <w:t>Ежегодные расходы государственных предприятий на спонсорство не должны превышать 3 процента от чистой прибыли, полученной в предыдущем году.</w:t>
      </w:r>
    </w:p>
    <w:p w14:paraId="6E305781" w14:textId="77777777" w:rsidR="00D43262" w:rsidRPr="004A2E6E" w:rsidRDefault="00D43262" w:rsidP="004A2E6E">
      <w:pPr>
        <w:spacing w:after="0" w:line="276" w:lineRule="auto"/>
        <w:ind w:firstLine="567"/>
        <w:jc w:val="both"/>
        <w:rPr>
          <w:rFonts w:ascii="Cambria" w:hAnsi="Cambria"/>
          <w:sz w:val="28"/>
          <w:szCs w:val="28"/>
        </w:rPr>
      </w:pPr>
    </w:p>
    <w:sectPr w:rsidR="00D43262" w:rsidRPr="004A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49"/>
    <w:rsid w:val="003D7849"/>
    <w:rsid w:val="004A2E6E"/>
    <w:rsid w:val="00D4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6BC7"/>
  <w15:chartTrackingRefBased/>
  <w15:docId w15:val="{843EF024-7DAC-4E23-B246-BB694EC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 Ильмира Равильевна</dc:creator>
  <cp:keywords/>
  <dc:description/>
  <cp:lastModifiedBy>Байбурина Ильмира Равильевна</cp:lastModifiedBy>
  <cp:revision>3</cp:revision>
  <dcterms:created xsi:type="dcterms:W3CDTF">2022-04-13T05:47:00Z</dcterms:created>
  <dcterms:modified xsi:type="dcterms:W3CDTF">2022-04-13T06:23:00Z</dcterms:modified>
</cp:coreProperties>
</file>